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880"/>
        <w:jc w:val="center"/>
        <w:rPr>
          <w:rFonts w:ascii="黑体" w:hAnsi="黑体" w:eastAsia="黑体" w:cs="黑体"/>
          <w:sz w:val="44"/>
          <w:szCs w:val="44"/>
        </w:rPr>
      </w:pPr>
      <w:r>
        <w:rPr>
          <w:rFonts w:hint="eastAsia" w:ascii="黑体" w:hAnsi="黑体" w:eastAsia="黑体" w:cs="黑体"/>
          <w:sz w:val="44"/>
          <w:szCs w:val="44"/>
        </w:rPr>
        <w:t>《人工增雨(雪)地面催化剂发生器现场检查操作规程》地方标准编制说明</w:t>
      </w:r>
    </w:p>
    <w:p/>
    <w:p>
      <w:pPr>
        <w:spacing w:line="500" w:lineRule="exact"/>
        <w:ind w:firstLine="560" w:firstLineChars="200"/>
        <w:rPr>
          <w:rFonts w:ascii="黑体" w:eastAsia="黑体"/>
          <w:sz w:val="28"/>
          <w:szCs w:val="28"/>
        </w:rPr>
      </w:pPr>
      <w:r>
        <w:rPr>
          <w:rFonts w:hint="eastAsia" w:ascii="黑体" w:eastAsia="黑体"/>
          <w:sz w:val="28"/>
          <w:szCs w:val="28"/>
        </w:rPr>
        <w:t>一、工作简况</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（一）任务来源</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根据呼和浩特市市场监督管理局《关于下达2023年呼和浩特市地方标准制修订项目计划的通知》文件要求，编制了呼和浩特市地方标准《人工增雨(雪)地面催化剂发生器现场检查操作规程》。</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（二）起草单位和起草人</w:t>
      </w:r>
    </w:p>
    <w:p>
      <w:pPr>
        <w:spacing w:line="500" w:lineRule="exact"/>
        <w:ind w:firstLine="480" w:firstLineChars="200"/>
        <w:rPr>
          <w:rFonts w:ascii="宋体" w:hAnsi="宋体" w:cs="宋体"/>
          <w:sz w:val="24"/>
          <w:szCs w:val="24"/>
        </w:rPr>
      </w:pPr>
      <w:r>
        <w:rPr>
          <w:rFonts w:hint="eastAsia" w:ascii="宋体" w:hAnsi="宋体" w:cs="宋体"/>
          <w:sz w:val="24"/>
          <w:szCs w:val="24"/>
        </w:rPr>
        <w:t>本文件由呼和浩特市气象局提出并归口。</w:t>
      </w:r>
    </w:p>
    <w:p>
      <w:pPr>
        <w:spacing w:line="500" w:lineRule="exact"/>
        <w:ind w:firstLine="480" w:firstLineChars="200"/>
        <w:rPr>
          <w:rFonts w:ascii="宋体" w:hAnsi="宋体" w:cs="宋体"/>
          <w:sz w:val="24"/>
          <w:szCs w:val="24"/>
        </w:rPr>
      </w:pPr>
      <w:r>
        <w:rPr>
          <w:rFonts w:hint="eastAsia" w:ascii="宋体" w:hAnsi="宋体" w:cs="宋体"/>
          <w:sz w:val="24"/>
          <w:szCs w:val="24"/>
        </w:rPr>
        <w:t>本文件起草单位 ：呼和浩特市气象局。</w:t>
      </w:r>
    </w:p>
    <w:p>
      <w:pPr>
        <w:spacing w:line="500" w:lineRule="exact"/>
        <w:ind w:firstLine="480" w:firstLineChars="200"/>
        <w:rPr>
          <w:rFonts w:ascii="宋体" w:hAnsi="宋体" w:cs="宋体"/>
          <w:sz w:val="24"/>
          <w:szCs w:val="24"/>
        </w:rPr>
      </w:pPr>
      <w:r>
        <w:rPr>
          <w:rFonts w:hint="eastAsia" w:ascii="宋体" w:hAnsi="宋体" w:cs="宋体"/>
          <w:sz w:val="24"/>
          <w:szCs w:val="24"/>
        </w:rPr>
        <w:t>协助单位：内蒙古自治区人工影响天气中心、内蒙古北方保安民爆器材有限公司（556厂）。</w:t>
      </w:r>
    </w:p>
    <w:p>
      <w:pPr>
        <w:spacing w:line="500" w:lineRule="exact"/>
        <w:ind w:firstLine="480" w:firstLineChars="200"/>
        <w:rPr>
          <w:rFonts w:ascii="宋体" w:hAnsi="宋体" w:cs="宋体"/>
          <w:sz w:val="24"/>
          <w:szCs w:val="24"/>
        </w:rPr>
      </w:pPr>
      <w:r>
        <w:rPr>
          <w:rFonts w:hint="eastAsia" w:ascii="宋体" w:hAnsi="宋体" w:cs="宋体"/>
          <w:sz w:val="24"/>
          <w:szCs w:val="24"/>
        </w:rPr>
        <w:t>本文件主要起草人：戴玉芝、樊斌、张回园、孙尚瑜、于水燕</w:t>
      </w:r>
      <w:r>
        <w:rPr>
          <w:rFonts w:hint="eastAsia" w:ascii="宋体" w:hAnsi="宋体" w:cs="宋体"/>
          <w:sz w:val="24"/>
          <w:szCs w:val="24"/>
          <w:lang w:eastAsia="zh-CN"/>
        </w:rPr>
        <w:t>、</w:t>
      </w:r>
      <w:r>
        <w:rPr>
          <w:rFonts w:hint="eastAsia" w:ascii="宋体" w:hAnsi="宋体" w:cs="宋体"/>
          <w:sz w:val="24"/>
          <w:szCs w:val="24"/>
        </w:rPr>
        <w:t>张华、杨旺林、王沛、毛中杰、范梦、刘士军、王盈、赵梦玉、程乐。详见表1。</w:t>
      </w:r>
    </w:p>
    <w:p>
      <w:pPr>
        <w:spacing w:line="500" w:lineRule="exact"/>
        <w:ind w:firstLine="482"/>
        <w:jc w:val="center"/>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表1</w:t>
      </w:r>
      <w:r>
        <w:rPr>
          <w:rFonts w:ascii="宋体" w:hAnsi="宋体" w:cs="宋体"/>
          <w:b/>
          <w:color w:val="000000" w:themeColor="text1"/>
          <w:sz w:val="24"/>
          <w:szCs w:val="24"/>
          <w14:textFill>
            <w14:solidFill>
              <w14:schemeClr w14:val="tx1"/>
            </w14:solidFill>
          </w14:textFill>
        </w:rPr>
        <w:t xml:space="preserve"> </w:t>
      </w:r>
      <w:r>
        <w:rPr>
          <w:rFonts w:hint="eastAsia" w:ascii="宋体" w:hAnsi="宋体" w:cs="宋体"/>
          <w:b/>
          <w:color w:val="000000" w:themeColor="text1"/>
          <w:sz w:val="24"/>
          <w:szCs w:val="24"/>
          <w14:textFill>
            <w14:solidFill>
              <w14:schemeClr w14:val="tx1"/>
            </w14:solidFill>
          </w14:textFill>
        </w:rPr>
        <w:t xml:space="preserve"> 起草人信息情况</w:t>
      </w:r>
    </w:p>
    <w:tbl>
      <w:tblPr>
        <w:tblStyle w:val="7"/>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859"/>
        <w:gridCol w:w="1118"/>
        <w:gridCol w:w="1391"/>
        <w:gridCol w:w="4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pPr>
              <w:spacing w:line="500" w:lineRule="exact"/>
              <w:jc w:val="center"/>
              <w:rPr>
                <w:rFonts w:ascii="宋体" w:hAnsi="宋体" w:cs="宋体"/>
              </w:rPr>
            </w:pPr>
            <w:r>
              <w:rPr>
                <w:rFonts w:hint="eastAsia" w:ascii="宋体" w:hAnsi="宋体" w:cs="宋体"/>
              </w:rPr>
              <w:t>姓名</w:t>
            </w:r>
          </w:p>
        </w:tc>
        <w:tc>
          <w:tcPr>
            <w:tcW w:w="859" w:type="dxa"/>
          </w:tcPr>
          <w:p>
            <w:pPr>
              <w:spacing w:line="500" w:lineRule="exact"/>
              <w:jc w:val="center"/>
              <w:rPr>
                <w:rFonts w:ascii="宋体" w:hAnsi="宋体" w:cs="宋体"/>
              </w:rPr>
            </w:pPr>
            <w:r>
              <w:rPr>
                <w:rFonts w:hint="eastAsia" w:ascii="宋体" w:hAnsi="宋体" w:cs="宋体"/>
              </w:rPr>
              <w:t>职称</w:t>
            </w:r>
          </w:p>
        </w:tc>
        <w:tc>
          <w:tcPr>
            <w:tcW w:w="1118" w:type="dxa"/>
          </w:tcPr>
          <w:p>
            <w:pPr>
              <w:spacing w:line="500" w:lineRule="exact"/>
              <w:jc w:val="center"/>
              <w:rPr>
                <w:rFonts w:ascii="宋体" w:hAnsi="宋体" w:cs="宋体"/>
              </w:rPr>
            </w:pPr>
            <w:r>
              <w:rPr>
                <w:rFonts w:hint="eastAsia" w:ascii="宋体" w:hAnsi="宋体" w:cs="宋体"/>
              </w:rPr>
              <w:t>现从事专业</w:t>
            </w:r>
          </w:p>
        </w:tc>
        <w:tc>
          <w:tcPr>
            <w:tcW w:w="1391" w:type="dxa"/>
          </w:tcPr>
          <w:p>
            <w:pPr>
              <w:spacing w:line="500" w:lineRule="exact"/>
              <w:jc w:val="center"/>
              <w:rPr>
                <w:rFonts w:ascii="宋体" w:hAnsi="宋体" w:cs="宋体"/>
                <w:b w:val="0"/>
                <w:bCs/>
              </w:rPr>
            </w:pPr>
            <w:r>
              <w:rPr>
                <w:rFonts w:hint="eastAsia" w:ascii="宋体" w:hAnsi="宋体" w:cs="宋体"/>
                <w:b w:val="0"/>
                <w:bCs/>
              </w:rPr>
              <w:t>联系方式</w:t>
            </w:r>
          </w:p>
        </w:tc>
        <w:tc>
          <w:tcPr>
            <w:tcW w:w="4219" w:type="dxa"/>
          </w:tcPr>
          <w:p>
            <w:pPr>
              <w:spacing w:line="500" w:lineRule="exact"/>
              <w:jc w:val="center"/>
              <w:rPr>
                <w:rFonts w:ascii="宋体" w:hAnsi="宋体" w:cs="宋体"/>
              </w:rPr>
            </w:pPr>
            <w:r>
              <w:rPr>
                <w:rFonts w:hint="eastAsia" w:ascii="宋体" w:hAnsi="宋体" w:cs="宋体"/>
              </w:rPr>
              <w:t>在本标准中起作用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戴玉芝</w:t>
            </w:r>
          </w:p>
        </w:tc>
        <w:tc>
          <w:tcPr>
            <w:tcW w:w="859" w:type="dxa"/>
            <w:vAlign w:val="center"/>
          </w:tcPr>
          <w:p>
            <w:pPr>
              <w:spacing w:line="240" w:lineRule="atLeast"/>
              <w:jc w:val="center"/>
              <w:rPr>
                <w:rFonts w:ascii="宋体" w:hAnsi="宋体" w:cs="宋体"/>
              </w:rPr>
            </w:pPr>
            <w:r>
              <w:rPr>
                <w:rFonts w:hint="eastAsia" w:ascii="宋体" w:hAnsi="宋体" w:cs="宋体"/>
              </w:rPr>
              <w:t>高级</w:t>
            </w:r>
          </w:p>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w:t>
            </w:r>
          </w:p>
          <w:p>
            <w:pPr>
              <w:spacing w:line="240" w:lineRule="atLeast"/>
              <w:jc w:val="center"/>
              <w:rPr>
                <w:rFonts w:ascii="宋体" w:hAnsi="宋体" w:cs="宋体"/>
              </w:rPr>
            </w:pPr>
            <w:r>
              <w:rPr>
                <w:rFonts w:hint="eastAsia" w:ascii="宋体" w:hAnsi="宋体" w:cs="宋体"/>
              </w:rPr>
              <w:t>天气</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13474837549</w:t>
            </w:r>
          </w:p>
        </w:tc>
        <w:tc>
          <w:tcPr>
            <w:tcW w:w="4219" w:type="dxa"/>
            <w:vAlign w:val="center"/>
          </w:tcPr>
          <w:p>
            <w:pPr>
              <w:spacing w:line="240" w:lineRule="atLeast"/>
              <w:jc w:val="center"/>
              <w:rPr>
                <w:rFonts w:ascii="宋体" w:hAnsi="宋体" w:cs="宋体"/>
              </w:rPr>
            </w:pPr>
            <w:r>
              <w:rPr>
                <w:rFonts w:hint="eastAsia" w:ascii="宋体" w:hAnsi="宋体" w:cs="宋体"/>
              </w:rPr>
              <w:t>主持，拟定标准编制提纲，负责文本编制、全文校审及修改，撰写并审校编制说明等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樊  斌</w:t>
            </w:r>
          </w:p>
        </w:tc>
        <w:tc>
          <w:tcPr>
            <w:tcW w:w="859" w:type="dxa"/>
            <w:vAlign w:val="center"/>
          </w:tcPr>
          <w:p>
            <w:pPr>
              <w:spacing w:line="240" w:lineRule="atLeast"/>
              <w:jc w:val="center"/>
              <w:rPr>
                <w:rFonts w:ascii="宋体" w:hAnsi="宋体" w:cs="宋体"/>
              </w:rPr>
            </w:pPr>
            <w:r>
              <w:rPr>
                <w:rFonts w:hint="eastAsia" w:ascii="宋体" w:hAnsi="宋体" w:cs="宋体"/>
              </w:rPr>
              <w:t>高级</w:t>
            </w:r>
          </w:p>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灾害监测</w:t>
            </w:r>
          </w:p>
          <w:p>
            <w:pPr>
              <w:spacing w:line="240" w:lineRule="atLeast"/>
              <w:jc w:val="center"/>
              <w:rPr>
                <w:rFonts w:ascii="宋体" w:hAnsi="宋体" w:cs="宋体"/>
              </w:rPr>
            </w:pPr>
            <w:r>
              <w:rPr>
                <w:rFonts w:hint="eastAsia" w:ascii="宋体" w:hAnsi="宋体" w:cs="宋体"/>
              </w:rPr>
              <w:t>预警</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13664881753</w:t>
            </w:r>
          </w:p>
        </w:tc>
        <w:tc>
          <w:tcPr>
            <w:tcW w:w="4219" w:type="dxa"/>
            <w:vAlign w:val="center"/>
          </w:tcPr>
          <w:p>
            <w:pPr>
              <w:spacing w:line="240" w:lineRule="atLeast"/>
              <w:jc w:val="center"/>
              <w:rPr>
                <w:rFonts w:ascii="宋体" w:hAnsi="宋体" w:cs="宋体"/>
              </w:rPr>
            </w:pPr>
            <w:r>
              <w:rPr>
                <w:rFonts w:hint="eastAsia" w:ascii="宋体" w:hAnsi="宋体" w:cs="宋体"/>
              </w:rPr>
              <w:t>组织协调,</w:t>
            </w:r>
            <w:r>
              <w:rPr>
                <w:rFonts w:hint="eastAsia" w:ascii="宋体" w:hAnsi="宋体" w:cs="宋体"/>
                <w:lang w:eastAsia="zh-CN"/>
              </w:rPr>
              <w:t>技术把关、</w:t>
            </w:r>
            <w:r>
              <w:rPr>
                <w:rFonts w:hint="eastAsia" w:ascii="宋体" w:hAnsi="宋体" w:cs="宋体"/>
              </w:rPr>
              <w:t>参与标准编制与条款修改以及标准在呼和浩特市各作业点试运行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张回园</w:t>
            </w:r>
          </w:p>
        </w:tc>
        <w:tc>
          <w:tcPr>
            <w:tcW w:w="859" w:type="dxa"/>
            <w:vAlign w:val="center"/>
          </w:tcPr>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应用气象</w:t>
            </w:r>
          </w:p>
          <w:p>
            <w:pPr>
              <w:spacing w:line="240" w:lineRule="atLeast"/>
              <w:jc w:val="center"/>
              <w:rPr>
                <w:rFonts w:ascii="宋体" w:hAnsi="宋体" w:cs="宋体"/>
              </w:rPr>
            </w:pPr>
            <w:r>
              <w:rPr>
                <w:rFonts w:hint="eastAsia" w:ascii="宋体" w:hAnsi="宋体" w:cs="宋体"/>
              </w:rPr>
              <w:t>服务</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13948434517</w:t>
            </w:r>
          </w:p>
        </w:tc>
        <w:tc>
          <w:tcPr>
            <w:tcW w:w="4219" w:type="dxa"/>
            <w:vAlign w:val="center"/>
          </w:tcPr>
          <w:p>
            <w:pPr>
              <w:spacing w:line="240" w:lineRule="atLeast"/>
              <w:jc w:val="center"/>
              <w:rPr>
                <w:rFonts w:ascii="宋体" w:hAnsi="宋体" w:cs="宋体"/>
              </w:rPr>
            </w:pPr>
            <w:r>
              <w:rPr>
                <w:rFonts w:hint="eastAsia" w:ascii="宋体" w:hAnsi="宋体" w:cs="宋体"/>
              </w:rPr>
              <w:t>组织协调，整理反馈意见，参与标准编制并在文本主要内容和编制说明方面进行修改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孙尚瑜</w:t>
            </w:r>
          </w:p>
        </w:tc>
        <w:tc>
          <w:tcPr>
            <w:tcW w:w="859" w:type="dxa"/>
            <w:vAlign w:val="center"/>
          </w:tcPr>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农业气象与防灾减灾</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15047266103</w:t>
            </w:r>
          </w:p>
        </w:tc>
        <w:tc>
          <w:tcPr>
            <w:tcW w:w="4219" w:type="dxa"/>
            <w:vAlign w:val="center"/>
          </w:tcPr>
          <w:p>
            <w:pPr>
              <w:spacing w:line="240" w:lineRule="atLeast"/>
              <w:jc w:val="center"/>
              <w:rPr>
                <w:rFonts w:ascii="宋体" w:hAnsi="宋体" w:cs="宋体"/>
              </w:rPr>
            </w:pPr>
            <w:r>
              <w:rPr>
                <w:rFonts w:hint="eastAsia" w:ascii="宋体" w:hAnsi="宋体" w:cs="宋体"/>
              </w:rPr>
              <w:t>参与标准编制与条款修改，编制说明内容修改及标准在呼和浩特市各作业点试运行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于水燕</w:t>
            </w:r>
          </w:p>
        </w:tc>
        <w:tc>
          <w:tcPr>
            <w:tcW w:w="859" w:type="dxa"/>
            <w:vAlign w:val="center"/>
          </w:tcPr>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w:t>
            </w:r>
          </w:p>
          <w:p>
            <w:pPr>
              <w:spacing w:line="240" w:lineRule="atLeast"/>
              <w:jc w:val="center"/>
              <w:rPr>
                <w:rFonts w:ascii="宋体" w:hAnsi="宋体" w:cs="宋体"/>
              </w:rPr>
            </w:pPr>
            <w:r>
              <w:rPr>
                <w:rFonts w:hint="eastAsia" w:ascii="宋体" w:hAnsi="宋体" w:cs="宋体"/>
              </w:rPr>
              <w:t>天气</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13624849723</w:t>
            </w:r>
          </w:p>
        </w:tc>
        <w:tc>
          <w:tcPr>
            <w:tcW w:w="4219" w:type="dxa"/>
            <w:vAlign w:val="center"/>
          </w:tcPr>
          <w:p>
            <w:pPr>
              <w:spacing w:line="240" w:lineRule="atLeast"/>
              <w:jc w:val="center"/>
              <w:rPr>
                <w:rFonts w:ascii="宋体" w:hAnsi="宋体" w:cs="宋体"/>
              </w:rPr>
            </w:pPr>
            <w:r>
              <w:rPr>
                <w:rFonts w:hint="eastAsia" w:ascii="宋体" w:hAnsi="宋体" w:cs="宋体"/>
              </w:rPr>
              <w:t>参与标准编制、编制说明内容修改及标准在内蒙古自治区人影中心作业点试运行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3" w:type="dxa"/>
            <w:vAlign w:val="center"/>
          </w:tcPr>
          <w:p>
            <w:pPr>
              <w:spacing w:line="240" w:lineRule="atLeast"/>
              <w:jc w:val="center"/>
              <w:rPr>
                <w:rFonts w:ascii="宋体" w:hAnsi="宋体" w:cs="宋体"/>
              </w:rPr>
            </w:pPr>
            <w:r>
              <w:rPr>
                <w:rFonts w:hint="eastAsia" w:ascii="宋体" w:hAnsi="宋体" w:cs="宋体"/>
              </w:rPr>
              <w:t>张  华</w:t>
            </w:r>
          </w:p>
        </w:tc>
        <w:tc>
          <w:tcPr>
            <w:tcW w:w="859" w:type="dxa"/>
            <w:vAlign w:val="center"/>
          </w:tcPr>
          <w:p>
            <w:pPr>
              <w:spacing w:line="240" w:lineRule="atLeast"/>
              <w:jc w:val="center"/>
              <w:rPr>
                <w:rFonts w:ascii="宋体" w:hAnsi="宋体" w:cs="宋体"/>
              </w:rPr>
            </w:pPr>
            <w:r>
              <w:rPr>
                <w:rFonts w:hint="eastAsia" w:ascii="宋体" w:hAnsi="宋体" w:cs="宋体"/>
              </w:rPr>
              <w:t>高级</w:t>
            </w:r>
          </w:p>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w:t>
            </w:r>
          </w:p>
          <w:p>
            <w:pPr>
              <w:spacing w:line="240" w:lineRule="atLeast"/>
              <w:jc w:val="center"/>
              <w:rPr>
                <w:rFonts w:ascii="宋体" w:hAnsi="宋体" w:cs="宋体"/>
              </w:rPr>
            </w:pPr>
            <w:r>
              <w:rPr>
                <w:rFonts w:hint="eastAsia" w:ascii="宋体" w:hAnsi="宋体" w:cs="宋体"/>
              </w:rPr>
              <w:t>天气</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13404846266</w:t>
            </w:r>
          </w:p>
        </w:tc>
        <w:tc>
          <w:tcPr>
            <w:tcW w:w="4219" w:type="dxa"/>
            <w:vAlign w:val="center"/>
          </w:tcPr>
          <w:p>
            <w:pPr>
              <w:spacing w:line="240" w:lineRule="atLeast"/>
              <w:jc w:val="center"/>
              <w:rPr>
                <w:rFonts w:ascii="宋体" w:hAnsi="宋体" w:cs="宋体"/>
              </w:rPr>
            </w:pPr>
            <w:r>
              <w:rPr>
                <w:rFonts w:hint="eastAsia" w:ascii="宋体" w:hAnsi="宋体" w:cs="宋体"/>
              </w:rPr>
              <w:t>参与全文校审及修改及标准在呼和浩特市各作业点试运行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杨旺林</w:t>
            </w:r>
          </w:p>
        </w:tc>
        <w:tc>
          <w:tcPr>
            <w:tcW w:w="859" w:type="dxa"/>
            <w:vAlign w:val="center"/>
          </w:tcPr>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w:t>
            </w:r>
          </w:p>
          <w:p>
            <w:pPr>
              <w:spacing w:line="240" w:lineRule="atLeast"/>
              <w:jc w:val="center"/>
              <w:rPr>
                <w:rFonts w:ascii="宋体" w:hAnsi="宋体" w:cs="宋体"/>
              </w:rPr>
            </w:pPr>
            <w:r>
              <w:rPr>
                <w:rFonts w:hint="eastAsia" w:ascii="宋体" w:hAnsi="宋体" w:cs="宋体"/>
              </w:rPr>
              <w:t>天气</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15024932379</w:t>
            </w:r>
          </w:p>
        </w:tc>
        <w:tc>
          <w:tcPr>
            <w:tcW w:w="4219" w:type="dxa"/>
            <w:vAlign w:val="center"/>
          </w:tcPr>
          <w:p>
            <w:pPr>
              <w:spacing w:line="240" w:lineRule="atLeast"/>
              <w:jc w:val="center"/>
              <w:rPr>
                <w:rFonts w:ascii="宋体" w:hAnsi="宋体" w:cs="宋体"/>
              </w:rPr>
            </w:pPr>
            <w:r>
              <w:rPr>
                <w:rFonts w:hint="eastAsia" w:ascii="宋体" w:hAnsi="宋体" w:cs="宋体"/>
              </w:rPr>
              <w:t>负责全文校审及修改，负责标准在呼和浩特市各作业点试运行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王  沛</w:t>
            </w:r>
          </w:p>
        </w:tc>
        <w:tc>
          <w:tcPr>
            <w:tcW w:w="859" w:type="dxa"/>
            <w:vAlign w:val="center"/>
          </w:tcPr>
          <w:p>
            <w:pPr>
              <w:spacing w:line="240" w:lineRule="atLeast"/>
              <w:jc w:val="center"/>
              <w:rPr>
                <w:rFonts w:ascii="宋体" w:hAnsi="宋体" w:cs="宋体"/>
              </w:rPr>
            </w:pPr>
            <w:r>
              <w:rPr>
                <w:rFonts w:hint="eastAsia" w:ascii="宋体" w:hAnsi="宋体" w:cs="宋体"/>
              </w:rPr>
              <w:t>高级</w:t>
            </w:r>
          </w:p>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w:t>
            </w:r>
          </w:p>
          <w:p>
            <w:pPr>
              <w:spacing w:line="240" w:lineRule="atLeast"/>
              <w:jc w:val="center"/>
              <w:rPr>
                <w:rFonts w:ascii="宋体" w:hAnsi="宋体" w:cs="宋体"/>
              </w:rPr>
            </w:pPr>
            <w:r>
              <w:rPr>
                <w:rFonts w:hint="eastAsia" w:ascii="宋体" w:hAnsi="宋体" w:cs="宋体"/>
              </w:rPr>
              <w:t>天气</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13847427600</w:t>
            </w:r>
          </w:p>
        </w:tc>
        <w:tc>
          <w:tcPr>
            <w:tcW w:w="4219" w:type="dxa"/>
            <w:vAlign w:val="center"/>
          </w:tcPr>
          <w:p>
            <w:pPr>
              <w:spacing w:line="240" w:lineRule="atLeast"/>
              <w:jc w:val="center"/>
              <w:rPr>
                <w:rFonts w:ascii="宋体" w:hAnsi="宋体" w:cs="宋体"/>
              </w:rPr>
            </w:pPr>
            <w:r>
              <w:rPr>
                <w:rFonts w:hint="eastAsia" w:ascii="宋体" w:hAnsi="宋体" w:cs="宋体"/>
              </w:rPr>
              <w:t>负责查阅相关文献，参与标准编制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毛中杰</w:t>
            </w:r>
          </w:p>
        </w:tc>
        <w:tc>
          <w:tcPr>
            <w:tcW w:w="859" w:type="dxa"/>
            <w:vAlign w:val="center"/>
          </w:tcPr>
          <w:p>
            <w:pPr>
              <w:spacing w:line="240" w:lineRule="atLeast"/>
              <w:jc w:val="center"/>
              <w:rPr>
                <w:rFonts w:hint="eastAsia" w:ascii="宋体" w:hAnsi="宋体" w:eastAsia="宋体" w:cs="宋体"/>
                <w:lang w:val="en-US" w:eastAsia="zh-CN"/>
              </w:rPr>
            </w:pPr>
            <w:r>
              <w:rPr>
                <w:rFonts w:hint="eastAsia" w:ascii="宋体" w:hAnsi="宋体" w:cs="宋体"/>
                <w:lang w:val="en-US" w:eastAsia="zh-CN"/>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人工影响天气设备研发</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13644733323</w:t>
            </w:r>
          </w:p>
        </w:tc>
        <w:tc>
          <w:tcPr>
            <w:tcW w:w="4219" w:type="dxa"/>
            <w:vAlign w:val="center"/>
          </w:tcPr>
          <w:p>
            <w:pPr>
              <w:spacing w:line="240" w:lineRule="atLeast"/>
              <w:jc w:val="center"/>
              <w:rPr>
                <w:rFonts w:ascii="宋体" w:hAnsi="宋体" w:cs="宋体"/>
              </w:rPr>
            </w:pPr>
            <w:r>
              <w:rPr>
                <w:rFonts w:hint="eastAsia" w:ascii="宋体" w:hAnsi="宋体" w:cs="宋体"/>
              </w:rPr>
              <w:t>负责查阅相关文献，参与标准编制、全文校审及修改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范  梦</w:t>
            </w:r>
          </w:p>
        </w:tc>
        <w:tc>
          <w:tcPr>
            <w:tcW w:w="859" w:type="dxa"/>
            <w:vAlign w:val="center"/>
          </w:tcPr>
          <w:p>
            <w:pPr>
              <w:spacing w:line="240" w:lineRule="atLeast"/>
              <w:jc w:val="center"/>
              <w:rPr>
                <w:rFonts w:hint="eastAsia" w:ascii="宋体" w:hAnsi="宋体" w:eastAsia="宋体" w:cs="宋体"/>
                <w:lang w:eastAsia="zh-CN"/>
              </w:rPr>
            </w:pPr>
            <w:r>
              <w:rPr>
                <w:rFonts w:hint="eastAsia" w:ascii="宋体" w:hAnsi="宋体" w:cs="宋体"/>
                <w:lang w:eastAsia="zh-CN"/>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人工影响天气设备研发</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18247314146</w:t>
            </w:r>
          </w:p>
        </w:tc>
        <w:tc>
          <w:tcPr>
            <w:tcW w:w="4219" w:type="dxa"/>
            <w:vAlign w:val="center"/>
          </w:tcPr>
          <w:p>
            <w:pPr>
              <w:spacing w:line="240" w:lineRule="atLeast"/>
              <w:jc w:val="center"/>
              <w:rPr>
                <w:rFonts w:ascii="宋体" w:hAnsi="宋体" w:cs="宋体"/>
              </w:rPr>
            </w:pPr>
            <w:r>
              <w:rPr>
                <w:rFonts w:hint="eastAsia" w:ascii="宋体" w:hAnsi="宋体" w:cs="宋体"/>
              </w:rPr>
              <w:t>参与标准编制、全文校审及修改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刘士军</w:t>
            </w:r>
          </w:p>
        </w:tc>
        <w:tc>
          <w:tcPr>
            <w:tcW w:w="859" w:type="dxa"/>
            <w:vAlign w:val="center"/>
          </w:tcPr>
          <w:p>
            <w:pPr>
              <w:spacing w:line="240" w:lineRule="atLeast"/>
              <w:jc w:val="center"/>
              <w:rPr>
                <w:rFonts w:ascii="宋体" w:hAnsi="宋体" w:cs="宋体"/>
              </w:rPr>
            </w:pPr>
            <w:r>
              <w:rPr>
                <w:rFonts w:hint="eastAsia" w:ascii="宋体" w:hAnsi="宋体" w:cs="宋体"/>
              </w:rPr>
              <w:t>高级</w:t>
            </w:r>
          </w:p>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人工影响</w:t>
            </w:r>
          </w:p>
          <w:p>
            <w:pPr>
              <w:spacing w:line="240" w:lineRule="atLeast"/>
              <w:jc w:val="center"/>
              <w:rPr>
                <w:rFonts w:ascii="宋体" w:hAnsi="宋体" w:cs="宋体"/>
              </w:rPr>
            </w:pPr>
            <w:r>
              <w:rPr>
                <w:rFonts w:hint="eastAsia" w:ascii="宋体" w:hAnsi="宋体" w:cs="宋体"/>
              </w:rPr>
              <w:t>天气</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13947310580</w:t>
            </w:r>
          </w:p>
        </w:tc>
        <w:tc>
          <w:tcPr>
            <w:tcW w:w="4219" w:type="dxa"/>
            <w:vAlign w:val="center"/>
          </w:tcPr>
          <w:p>
            <w:pPr>
              <w:spacing w:line="240" w:lineRule="atLeast"/>
              <w:jc w:val="center"/>
              <w:rPr>
                <w:rFonts w:ascii="宋体" w:hAnsi="宋体" w:cs="宋体"/>
              </w:rPr>
            </w:pPr>
            <w:r>
              <w:rPr>
                <w:rFonts w:hint="eastAsia" w:ascii="宋体" w:hAnsi="宋体" w:cs="宋体"/>
              </w:rPr>
              <w:t>参与标准编制、全文校审及修改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913" w:type="dxa"/>
            <w:vAlign w:val="center"/>
          </w:tcPr>
          <w:p>
            <w:pPr>
              <w:spacing w:line="240" w:lineRule="atLeast"/>
              <w:jc w:val="center"/>
              <w:rPr>
                <w:rFonts w:ascii="宋体" w:hAnsi="宋体" w:cs="宋体"/>
              </w:rPr>
            </w:pPr>
            <w:r>
              <w:rPr>
                <w:rFonts w:hint="eastAsia" w:ascii="宋体" w:hAnsi="宋体" w:cs="宋体"/>
              </w:rPr>
              <w:t>王  盈</w:t>
            </w:r>
          </w:p>
        </w:tc>
        <w:tc>
          <w:tcPr>
            <w:tcW w:w="859" w:type="dxa"/>
            <w:vAlign w:val="center"/>
          </w:tcPr>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天气预报</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15389824301</w:t>
            </w:r>
          </w:p>
        </w:tc>
        <w:tc>
          <w:tcPr>
            <w:tcW w:w="4219" w:type="dxa"/>
            <w:vAlign w:val="center"/>
          </w:tcPr>
          <w:p>
            <w:pPr>
              <w:spacing w:line="240" w:lineRule="atLeast"/>
              <w:jc w:val="center"/>
              <w:rPr>
                <w:rFonts w:ascii="宋体" w:hAnsi="宋体" w:cs="宋体"/>
              </w:rPr>
            </w:pPr>
            <w:r>
              <w:rPr>
                <w:rFonts w:hint="eastAsia" w:ascii="宋体" w:hAnsi="宋体" w:cs="宋体"/>
              </w:rPr>
              <w:t>参与标准编制全文校审及修改，标准在呼和浩特市各作业点试运行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赵梦玉</w:t>
            </w:r>
          </w:p>
        </w:tc>
        <w:tc>
          <w:tcPr>
            <w:tcW w:w="859" w:type="dxa"/>
            <w:vAlign w:val="center"/>
          </w:tcPr>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天气预报</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15560744641</w:t>
            </w:r>
          </w:p>
        </w:tc>
        <w:tc>
          <w:tcPr>
            <w:tcW w:w="4219" w:type="dxa"/>
            <w:vAlign w:val="center"/>
          </w:tcPr>
          <w:p>
            <w:pPr>
              <w:spacing w:line="240" w:lineRule="atLeast"/>
              <w:jc w:val="center"/>
              <w:rPr>
                <w:rFonts w:ascii="宋体" w:hAnsi="宋体" w:cs="宋体"/>
              </w:rPr>
            </w:pPr>
            <w:r>
              <w:rPr>
                <w:rFonts w:hint="eastAsia" w:ascii="宋体" w:hAnsi="宋体" w:cs="宋体"/>
              </w:rPr>
              <w:t>参与标准编制全文校审及修改，标准在呼和浩特市各作业点试运行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240" w:lineRule="atLeast"/>
              <w:jc w:val="center"/>
              <w:rPr>
                <w:rFonts w:ascii="宋体" w:hAnsi="宋体" w:cs="宋体"/>
              </w:rPr>
            </w:pPr>
            <w:r>
              <w:rPr>
                <w:rFonts w:hint="eastAsia" w:ascii="宋体" w:hAnsi="宋体" w:cs="宋体"/>
              </w:rPr>
              <w:t>程  乐</w:t>
            </w:r>
          </w:p>
        </w:tc>
        <w:tc>
          <w:tcPr>
            <w:tcW w:w="859" w:type="dxa"/>
            <w:vAlign w:val="center"/>
          </w:tcPr>
          <w:p>
            <w:pPr>
              <w:spacing w:line="240" w:lineRule="atLeast"/>
              <w:jc w:val="center"/>
              <w:rPr>
                <w:rFonts w:ascii="宋体" w:hAnsi="宋体" w:cs="宋体"/>
              </w:rPr>
            </w:pPr>
            <w:r>
              <w:rPr>
                <w:rFonts w:hint="eastAsia" w:ascii="宋体" w:hAnsi="宋体" w:cs="宋体"/>
              </w:rPr>
              <w:t>助理</w:t>
            </w:r>
          </w:p>
          <w:p>
            <w:pPr>
              <w:spacing w:line="240" w:lineRule="atLeast"/>
              <w:jc w:val="center"/>
              <w:rPr>
                <w:rFonts w:ascii="宋体" w:hAnsi="宋体" w:cs="宋体"/>
              </w:rPr>
            </w:pPr>
            <w:r>
              <w:rPr>
                <w:rFonts w:hint="eastAsia" w:ascii="宋体" w:hAnsi="宋体" w:cs="宋体"/>
              </w:rPr>
              <w:t>工程师</w:t>
            </w:r>
          </w:p>
        </w:tc>
        <w:tc>
          <w:tcPr>
            <w:tcW w:w="1118" w:type="dxa"/>
            <w:vAlign w:val="center"/>
          </w:tcPr>
          <w:p>
            <w:pPr>
              <w:spacing w:line="240" w:lineRule="atLeast"/>
              <w:jc w:val="center"/>
              <w:rPr>
                <w:rFonts w:ascii="宋体" w:hAnsi="宋体" w:cs="宋体"/>
              </w:rPr>
            </w:pPr>
            <w:r>
              <w:rPr>
                <w:rFonts w:hint="eastAsia" w:ascii="宋体" w:hAnsi="宋体" w:cs="宋体"/>
              </w:rPr>
              <w:t>综合观测</w:t>
            </w:r>
          </w:p>
        </w:tc>
        <w:tc>
          <w:tcPr>
            <w:tcW w:w="1391" w:type="dxa"/>
            <w:vAlign w:val="center"/>
          </w:tcPr>
          <w:p>
            <w:pPr>
              <w:spacing w:line="240" w:lineRule="atLeast"/>
              <w:jc w:val="center"/>
              <w:rPr>
                <w:rFonts w:ascii="宋体" w:hAnsi="宋体" w:cs="宋体"/>
                <w:b w:val="0"/>
                <w:bCs/>
              </w:rPr>
            </w:pPr>
            <w:r>
              <w:rPr>
                <w:rFonts w:hint="eastAsia" w:ascii="宋体" w:hAnsi="宋体" w:cs="宋体"/>
                <w:b w:val="0"/>
                <w:bCs/>
              </w:rPr>
              <w:t>15047178188</w:t>
            </w:r>
          </w:p>
        </w:tc>
        <w:tc>
          <w:tcPr>
            <w:tcW w:w="4219" w:type="dxa"/>
            <w:vAlign w:val="center"/>
          </w:tcPr>
          <w:p>
            <w:pPr>
              <w:spacing w:line="240" w:lineRule="atLeast"/>
              <w:jc w:val="center"/>
              <w:rPr>
                <w:rFonts w:ascii="宋体" w:hAnsi="宋体" w:cs="宋体"/>
              </w:rPr>
            </w:pPr>
            <w:r>
              <w:rPr>
                <w:rFonts w:hint="eastAsia" w:ascii="宋体" w:hAnsi="宋体" w:cs="宋体"/>
              </w:rPr>
              <w:t>参与标准编制、查阅相关文献</w:t>
            </w:r>
          </w:p>
        </w:tc>
      </w:tr>
    </w:tbl>
    <w:p>
      <w:pPr>
        <w:spacing w:line="500" w:lineRule="exact"/>
        <w:ind w:firstLine="480" w:firstLineChars="200"/>
        <w:rPr>
          <w:rFonts w:ascii="宋体" w:hAnsi="宋体" w:cs="宋体"/>
          <w:sz w:val="24"/>
          <w:szCs w:val="24"/>
        </w:rPr>
      </w:pPr>
    </w:p>
    <w:p>
      <w:pPr>
        <w:spacing w:line="500" w:lineRule="exact"/>
        <w:ind w:firstLine="560" w:firstLineChars="200"/>
        <w:rPr>
          <w:rFonts w:ascii="黑体" w:eastAsia="黑体"/>
          <w:sz w:val="28"/>
          <w:szCs w:val="28"/>
        </w:rPr>
      </w:pPr>
      <w:r>
        <w:rPr>
          <w:rFonts w:hint="eastAsia" w:ascii="黑体" w:eastAsia="黑体"/>
          <w:sz w:val="28"/>
          <w:szCs w:val="28"/>
        </w:rPr>
        <w:t>二、制定本文件的必要性和意义</w:t>
      </w:r>
    </w:p>
    <w:p>
      <w:pPr>
        <w:spacing w:line="500" w:lineRule="exact"/>
        <w:ind w:firstLine="562" w:firstLineChars="200"/>
        <w:rPr>
          <w:rFonts w:ascii="仿宋_GB2312" w:eastAsia="仿宋_GB2312"/>
          <w:b/>
          <w:sz w:val="28"/>
          <w:szCs w:val="28"/>
        </w:rPr>
      </w:pPr>
      <w:bookmarkStart w:id="0" w:name="_Toc521313219"/>
      <w:bookmarkStart w:id="1" w:name="_Toc17199"/>
      <w:r>
        <w:rPr>
          <w:rFonts w:hint="eastAsia" w:ascii="仿宋_GB2312" w:eastAsia="仿宋_GB2312"/>
          <w:b/>
          <w:sz w:val="28"/>
          <w:szCs w:val="28"/>
        </w:rPr>
        <w:t>（一）</w:t>
      </w:r>
      <w:bookmarkEnd w:id="0"/>
      <w:bookmarkEnd w:id="1"/>
      <w:r>
        <w:rPr>
          <w:rFonts w:hint="eastAsia" w:ascii="仿宋_GB2312" w:eastAsia="仿宋_GB2312"/>
          <w:b/>
          <w:sz w:val="28"/>
          <w:szCs w:val="28"/>
        </w:rPr>
        <w:t>推动人工影响天气高质量发展的要求</w:t>
      </w:r>
    </w:p>
    <w:p>
      <w:pPr>
        <w:snapToGrid w:val="0"/>
        <w:spacing w:line="500" w:lineRule="exact"/>
        <w:ind w:firstLine="480" w:firstLineChars="200"/>
        <w:rPr>
          <w:rFonts w:ascii="宋体" w:hAnsi="宋体" w:cs="宋体"/>
          <w:color w:val="000000" w:themeColor="text1"/>
          <w:sz w:val="24"/>
          <w:szCs w:val="24"/>
          <w14:textFill>
            <w14:solidFill>
              <w14:schemeClr w14:val="tx1"/>
            </w14:solidFill>
          </w14:textFill>
        </w:rPr>
      </w:pPr>
      <w:bookmarkStart w:id="2" w:name="_Toc17384"/>
      <w:bookmarkStart w:id="3" w:name="_Toc521313220"/>
      <w:r>
        <w:rPr>
          <w:rFonts w:hint="eastAsia" w:ascii="宋体" w:hAnsi="宋体" w:cs="宋体"/>
          <w:color w:val="000000" w:themeColor="text1"/>
          <w:sz w:val="24"/>
          <w:szCs w:val="24"/>
          <w14:textFill>
            <w14:solidFill>
              <w14:schemeClr w14:val="tx1"/>
            </w14:solidFill>
          </w14:textFill>
        </w:rPr>
        <w:t>2020 年 12 月 2 日国务院办公厅印发《关于推进人工影响天气工作高质量发展的意见》(国办发[2020]47号)（简称《意见》）指出，为认真落实党中央、国务院决策部署，准确把握人工影响天气工作的基础性、公益性定位，完善体制机制，强化能力建设，加快科技创新，提高作业水平，更好地服务经济社会发展。《意见》要求，做好人工影响天气在农业生产服务、生态保护与修复、水源涵养、水土保持、植被恢复、生物多样性保护、水库增蓄水、森林草原火灾火险、异常高温干旱等事件等方面的服务工作。推进人工影响天气作业装备的自动化、标准化、信息化改造和列装，积极推动人工影响天气高质量发展。</w:t>
      </w:r>
      <w:r>
        <w:rPr>
          <w:rFonts w:ascii="宋体" w:hAnsi="宋体" w:cs="宋体"/>
          <w:color w:val="000000" w:themeColor="text1"/>
          <w:sz w:val="24"/>
          <w:szCs w:val="24"/>
          <w14:textFill>
            <w14:solidFill>
              <w14:schemeClr w14:val="tx1"/>
            </w14:solidFill>
          </w14:textFill>
        </w:rPr>
        <w:t xml:space="preserve"> </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（二）为呼市经济和社会发展提供气象防灾减灾服务</w:t>
      </w:r>
    </w:p>
    <w:p>
      <w:pPr>
        <w:snapToGrid w:val="0"/>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人工影响天气与气象灾害防御工作是呼市经济和社会发展的重点工作，已列入各级地方政府重点工作任务并给予经费支持。该规程为解决呼市人工影响天气与气象防灾减灾工作提供技术支撑。该规程不属于有科研成果支撑的项目，但有与该规程草案同步的科研项目和建设项目，如内蒙古气象局科技创新项目：nmqxkjcx202205，黄河流域内蒙古段雨滴谱特征及WRF模式参数化方案研究；华北区域人工影响天气建设项目“华北区域人工影响天气能力建设”，规程草案起草人为两个项目的主要参加人。该人工增雨（雪）地面催化剂发生器设备为内蒙古北方保安民爆器材有限公司（556厂）等生产厂家研发的国内广泛应用的成品，没有可以直接采用的国际标准或国内先进标准的项目，也没有需要修订的该规范的地方标准等。</w:t>
      </w:r>
    </w:p>
    <w:p>
      <w:pPr>
        <w:snapToGrid w:val="0"/>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目前全国有5个以上人工影响天气增雨（雪）地面发生器生产厂家，人工增雨（雪）地面催化剂发生器在全国的人工影响天气工作中占有一定比例，在经济社会高质量发展和重大社会活动保障服务工作中发挥着重要作用；该规范的建立，为人工增雨（雪）地面催化剂发生器增雨（雪）业务稳定运行、作业安全性的技术支撑和有力保障。目前，对于人工增雨（雪）地面催化剂发生器现场检查技术，国内、自治区内、市内没有统一的规范性标准。关于人工增雨（雪）地面催化剂发生器设备，没有明确现场检查技术规范或操作规程，一般由设备使用单位人员或联系生产厂家来进行现场技术检查。如何进行现场技术检查，没有明确详细的规范或标准，造成目前该设备没有现场检查操作规范或规程标准可依。一方面没有可以采纳的标准文件，另一方面人工增雨（雪）实际工作中又迫切需要制定该项标准，便于对该项工作进行规范化、科学化、系统化、安全化管理。</w:t>
      </w:r>
    </w:p>
    <w:p>
      <w:pPr>
        <w:snapToGrid w:val="0"/>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综上所述，制定该标准是十分必要的。</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w:t>
      </w:r>
      <w:bookmarkEnd w:id="2"/>
      <w:bookmarkEnd w:id="3"/>
      <w:r>
        <w:rPr>
          <w:rFonts w:hint="eastAsia" w:ascii="仿宋_GB2312" w:eastAsia="仿宋_GB2312"/>
          <w:b/>
          <w:sz w:val="28"/>
          <w:szCs w:val="28"/>
        </w:rPr>
        <w:t>合理利用气候资源抗旱减灾的需要</w:t>
      </w:r>
    </w:p>
    <w:p>
      <w:pPr>
        <w:snapToGrid w:val="0"/>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呼和浩特市地处中纬度，大部分地区属于半干旱中温带大陆性季风气候，呼和浩特市地区春夏季干旱灾害频发，给农牧业生产带来较大损失，抗旱减灾尤为重要。目前人工影响天气作业主要依靠增雨飞机、地面增雨防雹火箭、防雹增雨高炮和地面催化剂发生器等作业装备，但增雨飞机、地面增雨防雹火箭、防雹增雨高炮等作业在受到申请空域影响或强对流天气影响时，不能进行人工影响天气作业，而人工增雨（雪）地面催化剂发生器进行人工增雨（雪）作业时不受这些因素影响，可以随时在适合的天气条件下进行人工增雨（雪）作业，因此该设备正常运行符合人工增雨（雪）作业需求。该标准可为全市农牧业生产发展、抗旱减灾、森林草原防火、生态环境建设高质量发展和重大社会活动服务保障起到重要技术支撑作用，为保障设备作业稳定安全运行，制定该标准是有积极意义的。</w:t>
      </w:r>
    </w:p>
    <w:p>
      <w:pPr>
        <w:spacing w:line="500" w:lineRule="exact"/>
        <w:ind w:firstLine="560" w:firstLineChars="200"/>
        <w:rPr>
          <w:rFonts w:ascii="黑体" w:eastAsia="黑体"/>
          <w:sz w:val="28"/>
          <w:szCs w:val="28"/>
        </w:rPr>
      </w:pPr>
      <w:r>
        <w:rPr>
          <w:rFonts w:hint="eastAsia" w:ascii="黑体" w:eastAsia="黑体"/>
          <w:sz w:val="28"/>
          <w:szCs w:val="28"/>
        </w:rPr>
        <w:t>三、主要起草过程</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（一）收集资料、调查研究、提出标准初稿</w:t>
      </w:r>
    </w:p>
    <w:p>
      <w:pPr>
        <w:snapToGrid w:val="0"/>
        <w:spacing w:line="5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呼和浩特市人工影响天气工作始于1958年民间土炮防雹减灾，国家及各级政府高度重视，经过60多年的发展壮大，目前拥有飞机增雨、地面人工高炮防雹增雨、火箭增雨以及人工增雨（雪）地面催化剂发生器（增雨烟炉）等多种作业方式，为农牧业生产抗旱增雨、防雹减灾，以及生态环境建设和重大社会活动保驾护航。</w:t>
      </w:r>
    </w:p>
    <w:p>
      <w:pPr>
        <w:snapToGrid w:val="0"/>
        <w:spacing w:line="500" w:lineRule="exact"/>
        <w:ind w:firstLine="480" w:firstLineChars="200"/>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编写组查阅了大量的相关文献、资料、规范和标准。查阅了规范性文件GB/T 3367</w:t>
      </w:r>
      <w:r>
        <w:rPr>
          <w:rFonts w:hint="eastAsia" w:ascii="宋体" w:hAnsi="宋体" w:cs="宋体"/>
          <w:color w:val="000000" w:themeColor="text1"/>
          <w:sz w:val="24"/>
          <w:szCs w:val="24"/>
          <w:lang w:val="en-US" w:eastAsia="zh-CN"/>
          <w14:textFill>
            <w14:solidFill>
              <w14:schemeClr w14:val="tx1"/>
            </w14:solidFill>
          </w14:textFill>
        </w:rPr>
        <w:t>9—2017 《人工影响天气用燃烧剂和制冷剂的存储技术条件》；QX/T 151—2012 《人工影响天气术语》；QX/T 297—2015 《地面人工影响天气作业安全管理要求》；2023年《QX/T 658—2023 人工增雨（雪）地面催化剂发生器作业要求》、 Q/BFMB 0003—2018 人工增雨催化剂发生器及焰条。查阅了内蒙古北方保安民爆器材有限公司（556厂）《RYJ—1型景观烟炉使用说明书》（2023版）等文献资料。</w:t>
      </w:r>
    </w:p>
    <w:p>
      <w:pPr>
        <w:snapToGrid w:val="0"/>
        <w:spacing w:line="500" w:lineRule="exact"/>
        <w:ind w:firstLine="480" w:firstLineChars="200"/>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项目组前期对全国、全区及我市人工增雨（雪）地面催化剂发生器进行了深入的研究和广泛调研。全国、全区及全市均有布设，全国有近千部，仅大青山沿山一带该设备近60部。华北区域人影建设项目“华北区域人工影响天气能力建设”计划目前在呼和浩特市境内原有基础上改建、增建多部设备，呼和浩特市气象发展规划计划在此基础上继续加大该设备在各旗县布设数量。</w:t>
      </w:r>
    </w:p>
    <w:p>
      <w:pPr>
        <w:snapToGrid w:val="0"/>
        <w:spacing w:line="500" w:lineRule="exact"/>
        <w:ind w:firstLine="480" w:firstLineChars="200"/>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2021年3月30日-4月2日期间，编写者曾参与单位组织的对巴彦淖尔市气象局、乌海市气象局、包头市气象局以及人工增雨（雪）催化剂发生器的生产厂家（内蒙古北方保安民爆器材有限公司（556厂））开展的人工影响天气工作调研，对该设备的业务运行、生产厂所、生产技术、产品投入市场情况、维修保障情况、科技创新情况、标准制定情况等进行了详细了解，就国内其他设备生产厂家进行调研咨询。</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目前呼和浩特市各级从事人工影响天气业务的火箭、高炮作业按照中国气象局出版的《地面人工影响天气作业安全管理要求》来进行业务安全管理，但未见有人工增雨（雪）地面催化剂发生器现场检查操作规程国内外相关标准的内容，所制定的规范没有相应的该设备现场检查操作规程的国家标准、行业标准、内蒙古自治区地方标准、呼和浩特市地方标准，法律、法规也没有详细的该设备现场检查技术方面的明确规定，未被纳入国家标准、行业标准、内蒙古自治区地方标准、呼和浩特市地方标准制修订计划。</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因此，编写小组对收集的资料进行认真分类、整理、归纳。在现有资料和数据基础上，经过认真分析研究，按照GB/T 1.1—2020的要求，起草了标准初稿，同时结合呼和浩特市人工增雨（雪）地面催化剂发生器现场检查操作实际情况，对规范进一步论证及研讨，完成了《人工增雨(雪)地面催化剂发生器现场检查操作规程》初稿。</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（二）成立标准起草工作组</w:t>
      </w:r>
    </w:p>
    <w:p>
      <w:pPr>
        <w:spacing w:line="500" w:lineRule="exact"/>
        <w:ind w:firstLine="480" w:firstLineChars="200"/>
        <w:rPr>
          <w:rFonts w:ascii="宋体" w:hAnsi="宋体" w:cs="宋体"/>
          <w:sz w:val="24"/>
          <w:szCs w:val="24"/>
        </w:rPr>
      </w:pPr>
      <w:r>
        <w:rPr>
          <w:rFonts w:hint="eastAsia" w:ascii="宋体" w:hAnsi="宋体" w:cs="宋体"/>
          <w:sz w:val="24"/>
          <w:szCs w:val="24"/>
        </w:rPr>
        <w:t>按照《呼和浩特</w:t>
      </w:r>
      <w:r>
        <w:rPr>
          <w:rFonts w:hint="eastAsia" w:ascii="宋体" w:hAnsi="宋体" w:cs="宋体"/>
          <w:kern w:val="0"/>
          <w:sz w:val="24"/>
          <w:szCs w:val="24"/>
        </w:rPr>
        <w:t>市市场监督管理局关于下达2023年呼和浩特市地方标准制修订项目计划的通知</w:t>
      </w:r>
      <w:r>
        <w:rPr>
          <w:rFonts w:hint="eastAsia" w:ascii="宋体" w:hAnsi="宋体" w:cs="宋体"/>
          <w:sz w:val="24"/>
          <w:szCs w:val="24"/>
        </w:rPr>
        <w:t>》文件要求，2</w:t>
      </w:r>
      <w:r>
        <w:rPr>
          <w:rFonts w:ascii="宋体" w:hAnsi="宋体" w:cs="宋体"/>
          <w:sz w:val="24"/>
          <w:szCs w:val="24"/>
        </w:rPr>
        <w:t>023</w:t>
      </w:r>
      <w:r>
        <w:rPr>
          <w:rFonts w:hint="eastAsia" w:ascii="宋体" w:hAnsi="宋体" w:cs="宋体"/>
          <w:sz w:val="24"/>
          <w:szCs w:val="24"/>
        </w:rPr>
        <w:t>年3月份成立了标准起草工作组，工作组成员均为长期从事人工影响天气或设备研发、维护维修等相关工作人员，具有较丰富的专业知识及实践经验，熟悉人工影响天气业务，并了解标准化工作的相关规定，具有较强的文字表达能力。工作组成立后，制定了工作方案，明确了内部分工及进度要求，责任落实到人。</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（三）工作组讨论稿</w:t>
      </w:r>
    </w:p>
    <w:p>
      <w:pPr>
        <w:spacing w:line="500" w:lineRule="exact"/>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023</w:t>
      </w:r>
      <w:r>
        <w:rPr>
          <w:rFonts w:hint="eastAsia" w:ascii="宋体" w:hAnsi="宋体" w:cs="宋体"/>
          <w:sz w:val="24"/>
          <w:szCs w:val="24"/>
        </w:rPr>
        <w:t>年3月-5月，编制组对初稿进行审议，并进行了修改完善，形成了编制组讨论稿。</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（四）召开地方标准立项会</w:t>
      </w:r>
    </w:p>
    <w:p>
      <w:pPr>
        <w:spacing w:line="500" w:lineRule="exact"/>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023</w:t>
      </w:r>
      <w:r>
        <w:rPr>
          <w:rFonts w:hint="eastAsia" w:ascii="宋体" w:hAnsi="宋体" w:cs="宋体"/>
          <w:sz w:val="24"/>
          <w:szCs w:val="24"/>
        </w:rPr>
        <w:t>年6月28日，在呼和浩特市气象局召开了《</w:t>
      </w:r>
      <w:r>
        <w:rPr>
          <w:rFonts w:hint="eastAsia" w:ascii="宋体" w:hAnsi="宋体" w:cs="宋体"/>
          <w:color w:val="000000"/>
          <w:kern w:val="0"/>
          <w:sz w:val="24"/>
          <w:szCs w:val="24"/>
        </w:rPr>
        <w:t>人工增雨(雪)地面催化剂发生器现场检查操作规程》</w:t>
      </w:r>
      <w:r>
        <w:rPr>
          <w:rFonts w:hint="eastAsia" w:ascii="宋体" w:hAnsi="宋体" w:cs="宋体"/>
          <w:sz w:val="24"/>
          <w:szCs w:val="24"/>
        </w:rPr>
        <w:t>地方标准立项会。会上审查委员会专家认真听取了标准主要起草人关于标准草稿详细介绍，对该标准进行立项，确定了标准的框架及主要内容，并提出修改补充意见。</w:t>
      </w:r>
    </w:p>
    <w:p>
      <w:pPr>
        <w:spacing w:line="500" w:lineRule="exact"/>
        <w:ind w:firstLine="562" w:firstLineChars="200"/>
        <w:rPr>
          <w:rFonts w:ascii="仿宋_GB2312" w:eastAsia="仿宋_GB2312"/>
          <w:b/>
          <w:sz w:val="28"/>
          <w:szCs w:val="28"/>
        </w:rPr>
      </w:pPr>
      <w:r>
        <w:rPr>
          <w:rFonts w:hint="eastAsia" w:ascii="仿宋_GB2312" w:eastAsia="仿宋_GB2312"/>
          <w:b/>
          <w:sz w:val="28"/>
          <w:szCs w:val="28"/>
        </w:rPr>
        <w:t>（五）征求专家意见</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2</w:t>
      </w:r>
      <w:r>
        <w:rPr>
          <w:rFonts w:ascii="宋体" w:hAnsi="宋体" w:cs="宋体"/>
          <w:sz w:val="24"/>
          <w:szCs w:val="24"/>
        </w:rPr>
        <w:t>023</w:t>
      </w:r>
      <w:r>
        <w:rPr>
          <w:rFonts w:hint="eastAsia" w:ascii="宋体" w:hAnsi="宋体" w:cs="宋体"/>
          <w:sz w:val="24"/>
          <w:szCs w:val="24"/>
        </w:rPr>
        <w:t>年7月-11月，标准起草工作组征求内蒙古自治区市场监督管理局、内蒙古自治区人工影响天气中心、呼和浩特市气象局、内蒙古北方保安民爆器材有限公司（556厂）等相关专家意见；12月15日参加由呼市气象局组织的技术论证会，由内蒙古自治区气象局、内蒙古自治区质量和标准化研究院、呼和浩特市气象局的专家组成技术论证委员会，会上专家对文本和编制说明提出了较为详细的修改意见。根据专家建议对文件进行了修改。2024年1-2月份修改后形成征求意见稿，向多部门征求意见，收到意见后，又进行了认真修改，形成此稿。</w:t>
      </w:r>
    </w:p>
    <w:p>
      <w:pPr>
        <w:spacing w:line="500" w:lineRule="exact"/>
        <w:ind w:firstLine="480" w:firstLineChars="200"/>
        <w:rPr>
          <w:rFonts w:ascii="宋体" w:hAnsi="宋体" w:cs="宋体"/>
          <w:sz w:val="24"/>
          <w:szCs w:val="24"/>
        </w:rPr>
      </w:pPr>
    </w:p>
    <w:p>
      <w:pPr>
        <w:spacing w:line="500" w:lineRule="exact"/>
        <w:ind w:firstLine="560" w:firstLineChars="200"/>
        <w:rPr>
          <w:rFonts w:ascii="黑体" w:eastAsia="黑体"/>
          <w:sz w:val="28"/>
          <w:szCs w:val="28"/>
        </w:rPr>
      </w:pPr>
      <w:r>
        <w:rPr>
          <w:rFonts w:hint="eastAsia" w:ascii="黑体" w:eastAsia="黑体"/>
          <w:sz w:val="28"/>
          <w:szCs w:val="28"/>
        </w:rPr>
        <w:t>四、制定标准的原则和依据，与现行法律、法规、标准的关系</w:t>
      </w:r>
    </w:p>
    <w:p>
      <w:pPr>
        <w:spacing w:line="500" w:lineRule="exact"/>
        <w:ind w:firstLine="560" w:firstLineChars="200"/>
        <w:rPr>
          <w:rFonts w:ascii="黑体" w:eastAsia="黑体"/>
          <w:sz w:val="28"/>
          <w:szCs w:val="28"/>
        </w:rPr>
      </w:pPr>
      <w:r>
        <w:rPr>
          <w:rFonts w:hint="eastAsia" w:ascii="黑体" w:eastAsia="黑体"/>
          <w:sz w:val="28"/>
          <w:szCs w:val="28"/>
        </w:rPr>
        <w:t>（一）标准编制原则</w:t>
      </w:r>
    </w:p>
    <w:p>
      <w:pPr>
        <w:spacing w:line="500" w:lineRule="exact"/>
        <w:ind w:firstLine="480" w:firstLineChars="200"/>
        <w:rPr>
          <w:rFonts w:ascii="宋体" w:hAnsi="宋体" w:cs="宋体"/>
          <w:sz w:val="24"/>
          <w:szCs w:val="24"/>
        </w:rPr>
      </w:pPr>
      <w:r>
        <w:rPr>
          <w:rFonts w:hint="eastAsia" w:ascii="宋体" w:hAnsi="宋体" w:cs="宋体"/>
          <w:sz w:val="24"/>
          <w:szCs w:val="24"/>
        </w:rPr>
        <w:t xml:space="preserve">本文件按照GB/T 1.1—2020《标准化工作导则 </w:t>
      </w:r>
      <w:r>
        <w:rPr>
          <w:rFonts w:ascii="宋体" w:hAnsi="宋体" w:cs="宋体"/>
          <w:sz w:val="24"/>
          <w:szCs w:val="24"/>
        </w:rPr>
        <w:t xml:space="preserve"> </w:t>
      </w:r>
      <w:r>
        <w:rPr>
          <w:rFonts w:hint="eastAsia" w:ascii="宋体" w:hAnsi="宋体" w:cs="宋体"/>
          <w:sz w:val="24"/>
          <w:szCs w:val="24"/>
        </w:rPr>
        <w:t>第1部分：标准化文件的结构和起草规则》的规定要求起草。遵循科学、准确、客观、定量、适用的原则。文本的编制力求表述规范，用语准确、简练，结构合理。</w:t>
      </w:r>
    </w:p>
    <w:p>
      <w:pPr>
        <w:spacing w:line="500" w:lineRule="exact"/>
        <w:ind w:firstLine="480" w:firstLineChars="200"/>
        <w:rPr>
          <w:rFonts w:ascii="宋体" w:hAnsi="宋体" w:cs="宋体"/>
          <w:sz w:val="24"/>
          <w:szCs w:val="24"/>
        </w:rPr>
      </w:pPr>
      <w:r>
        <w:rPr>
          <w:rFonts w:hint="eastAsia" w:ascii="宋体" w:hAnsi="宋体" w:cs="宋体"/>
          <w:sz w:val="24"/>
          <w:szCs w:val="24"/>
        </w:rPr>
        <w:t>1、连续性原则</w:t>
      </w:r>
    </w:p>
    <w:p>
      <w:pPr>
        <w:pStyle w:val="11"/>
        <w:snapToGrid w:val="0"/>
        <w:spacing w:line="500" w:lineRule="exact"/>
        <w:ind w:firstLine="480"/>
        <w:rPr>
          <w:rFonts w:hAnsi="宋体" w:cs="宋体"/>
          <w:kern w:val="2"/>
          <w:sz w:val="24"/>
          <w:szCs w:val="24"/>
        </w:rPr>
      </w:pPr>
      <w:r>
        <w:rPr>
          <w:rFonts w:hint="eastAsia" w:hAnsi="宋体" w:cs="宋体"/>
          <w:kern w:val="2"/>
          <w:sz w:val="24"/>
          <w:szCs w:val="24"/>
        </w:rPr>
        <w:t>目前各作业点使用的QX/T 297—2015  《地面人工影响天气作业安全管理规范》（2015版）；2023年《QX/T 658—2023  人工增雨（雪）地面催化剂发生器作业要求》（以下简称规范或要求）是气象出版社出版，它是人工影响天气工作者长期工作实践和经验的总结，已成为业内权威性文献。它规定了 人工增雨（雪）地面催化剂发生器作业的基本任务、技术要求。各级从事 人工增雨（雪）地面催化剂发生器作业的作业点基本按照《规范》《要求》来进行安全管理操作，但各地具体要求有所不同。本文件尽量在人工增雨（雪）地面催化剂发生器现场检查操作的原则、方法、现场检查技术报告的填写等具有一定的共同性方面与《规范》《要求》保持一致，以保证今后工作的连续性。</w:t>
      </w:r>
    </w:p>
    <w:p>
      <w:pPr>
        <w:spacing w:line="500" w:lineRule="exact"/>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、广泛适用性原则</w:t>
      </w:r>
    </w:p>
    <w:p>
      <w:pPr>
        <w:spacing w:line="500" w:lineRule="exact"/>
        <w:ind w:firstLine="480" w:firstLineChars="200"/>
        <w:rPr>
          <w:rFonts w:ascii="宋体" w:hAnsi="宋体" w:cs="宋体"/>
          <w:sz w:val="24"/>
          <w:szCs w:val="24"/>
        </w:rPr>
      </w:pPr>
      <w:r>
        <w:rPr>
          <w:rFonts w:hint="eastAsia" w:hAnsi="宋体" w:cs="宋体"/>
          <w:color w:val="000000" w:themeColor="text1"/>
          <w:sz w:val="24"/>
          <w:szCs w:val="24"/>
          <w14:textFill>
            <w14:solidFill>
              <w14:schemeClr w14:val="tx1"/>
            </w14:solidFill>
          </w14:textFill>
        </w:rPr>
        <w:t>作为地方标准，在制定过程中，要注意其广泛的适用性。《标准》的编制，既要适用于人工影响天气部门工作，同时可以与各旗县区相关作业部门检查数据衔接。目前已经积累了大量适用于当地的</w:t>
      </w:r>
      <w:r>
        <w:rPr>
          <w:rFonts w:hint="eastAsia" w:ascii="宋体" w:hAnsi="宋体" w:cs="宋体"/>
          <w:sz w:val="24"/>
          <w:szCs w:val="24"/>
        </w:rPr>
        <w:t>人工增雨（雪）地面催化剂发生器现场检查</w:t>
      </w:r>
      <w:r>
        <w:rPr>
          <w:rFonts w:hint="eastAsia" w:hAnsi="宋体" w:cs="宋体"/>
          <w:color w:val="000000" w:themeColor="text1"/>
          <w:sz w:val="24"/>
          <w:szCs w:val="24"/>
          <w14:textFill>
            <w14:solidFill>
              <w14:schemeClr w14:val="tx1"/>
            </w14:solidFill>
          </w14:textFill>
        </w:rPr>
        <w:t>数据，并且呼和浩特市气象局及各旗县区气象局以现场检查数据作为支撑，开展了多种形式</w:t>
      </w:r>
      <w:r>
        <w:rPr>
          <w:rFonts w:hint="eastAsia" w:ascii="宋体" w:hAnsi="宋体" w:cs="宋体"/>
          <w:sz w:val="24"/>
          <w:szCs w:val="24"/>
        </w:rPr>
        <w:t>人工增雨（雪）地面催化剂发生器现场检查</w:t>
      </w:r>
      <w:r>
        <w:rPr>
          <w:rFonts w:hint="eastAsia" w:hAnsi="宋体" w:cs="宋体"/>
          <w:color w:val="000000" w:themeColor="text1"/>
          <w:sz w:val="24"/>
          <w:szCs w:val="24"/>
          <w14:textFill>
            <w14:solidFill>
              <w14:schemeClr w14:val="tx1"/>
            </w14:solidFill>
          </w14:textFill>
        </w:rPr>
        <w:t>工作，</w:t>
      </w:r>
      <w:r>
        <w:rPr>
          <w:rFonts w:hint="eastAsia" w:ascii="宋体" w:hAnsi="宋体" w:cs="宋体"/>
          <w:color w:val="000000" w:themeColor="text1"/>
          <w:sz w:val="24"/>
          <w:szCs w:val="24"/>
          <w14:textFill>
            <w14:solidFill>
              <w14:schemeClr w14:val="tx1"/>
            </w14:solidFill>
          </w14:textFill>
        </w:rPr>
        <w:t>为呼和浩特市</w:t>
      </w:r>
      <w:r>
        <w:rPr>
          <w:rFonts w:hint="eastAsia" w:ascii="宋体" w:hAnsi="宋体" w:cs="宋体"/>
          <w:sz w:val="24"/>
          <w:szCs w:val="24"/>
        </w:rPr>
        <w:t>人工增雨（雪）地面催化剂发生器作业部门、人工影响天气管理部门提供多种检查报告分析等形式，</w:t>
      </w:r>
      <w:r>
        <w:rPr>
          <w:rFonts w:ascii="宋体" w:hAnsi="宋体" w:cs="宋体"/>
          <w:sz w:val="24"/>
          <w:szCs w:val="24"/>
        </w:rPr>
        <w:t>为</w:t>
      </w:r>
      <w:r>
        <w:rPr>
          <w:rFonts w:hint="eastAsia" w:ascii="宋体" w:hAnsi="宋体" w:cs="宋体"/>
          <w:sz w:val="24"/>
          <w:szCs w:val="24"/>
        </w:rPr>
        <w:t>人工影响天气</w:t>
      </w:r>
      <w:r>
        <w:rPr>
          <w:rFonts w:ascii="宋体" w:hAnsi="宋体" w:cs="宋体"/>
          <w:sz w:val="24"/>
          <w:szCs w:val="24"/>
        </w:rPr>
        <w:t>的可持续发展和生态文明建设提供了</w:t>
      </w:r>
      <w:r>
        <w:rPr>
          <w:rFonts w:hint="eastAsia" w:ascii="宋体" w:hAnsi="宋体" w:cs="宋体"/>
          <w:sz w:val="24"/>
          <w:szCs w:val="24"/>
        </w:rPr>
        <w:t>技术支撑</w:t>
      </w:r>
      <w:r>
        <w:rPr>
          <w:rFonts w:ascii="宋体" w:hAnsi="宋体" w:cs="宋体"/>
          <w:sz w:val="24"/>
          <w:szCs w:val="24"/>
        </w:rPr>
        <w:t>，也为我</w:t>
      </w:r>
      <w:r>
        <w:rPr>
          <w:rFonts w:hint="eastAsia" w:ascii="宋体" w:hAnsi="宋体" w:cs="宋体"/>
          <w:sz w:val="24"/>
          <w:szCs w:val="24"/>
        </w:rPr>
        <w:t>市农牧业生产</w:t>
      </w:r>
      <w:r>
        <w:rPr>
          <w:rFonts w:ascii="宋体" w:hAnsi="宋体" w:cs="宋体"/>
          <w:sz w:val="24"/>
          <w:szCs w:val="24"/>
        </w:rPr>
        <w:t>、</w:t>
      </w:r>
      <w:r>
        <w:rPr>
          <w:rFonts w:hint="eastAsia" w:ascii="宋体" w:hAnsi="宋体" w:cs="宋体"/>
          <w:sz w:val="24"/>
          <w:szCs w:val="24"/>
        </w:rPr>
        <w:t>森林草原防火、水源涵养、生态文明建设以及重大社会活动人工影响天气保障服务高质量发展提供广泛的使用</w:t>
      </w:r>
      <w:r>
        <w:rPr>
          <w:rFonts w:ascii="宋体" w:hAnsi="宋体" w:cs="宋体"/>
          <w:sz w:val="24"/>
          <w:szCs w:val="24"/>
        </w:rPr>
        <w:t>技术。</w:t>
      </w:r>
    </w:p>
    <w:p>
      <w:pPr>
        <w:pStyle w:val="11"/>
        <w:snapToGrid w:val="0"/>
        <w:spacing w:line="500" w:lineRule="exact"/>
        <w:ind w:firstLine="480"/>
        <w:rPr>
          <w:rFonts w:hAnsi="宋体" w:cs="宋体"/>
          <w:color w:val="000000" w:themeColor="text1"/>
          <w:kern w:val="2"/>
          <w:sz w:val="24"/>
          <w:szCs w:val="24"/>
          <w14:textFill>
            <w14:solidFill>
              <w14:schemeClr w14:val="tx1"/>
            </w14:solidFill>
          </w14:textFill>
        </w:rPr>
      </w:pPr>
      <w:r>
        <w:rPr>
          <w:rFonts w:hint="eastAsia" w:hAnsi="宋体" w:cs="宋体"/>
          <w:color w:val="000000" w:themeColor="text1"/>
          <w:kern w:val="2"/>
          <w:sz w:val="24"/>
          <w:szCs w:val="24"/>
          <w14:textFill>
            <w14:solidFill>
              <w14:schemeClr w14:val="tx1"/>
            </w14:solidFill>
          </w14:textFill>
        </w:rPr>
        <w:t>3、可操作性原则</w:t>
      </w:r>
    </w:p>
    <w:p>
      <w:pPr>
        <w:pStyle w:val="11"/>
        <w:snapToGrid w:val="0"/>
        <w:spacing w:line="500" w:lineRule="exact"/>
        <w:ind w:firstLine="480"/>
        <w:rPr>
          <w:rFonts w:hAnsi="宋体" w:cs="宋体"/>
          <w:kern w:val="2"/>
          <w:sz w:val="24"/>
          <w:szCs w:val="24"/>
        </w:rPr>
      </w:pPr>
      <w:r>
        <w:rPr>
          <w:rFonts w:hint="eastAsia" w:hAnsi="宋体" w:cs="宋体"/>
          <w:kern w:val="2"/>
          <w:sz w:val="24"/>
          <w:szCs w:val="24"/>
        </w:rPr>
        <w:t>编制</w:t>
      </w:r>
      <w:r>
        <w:rPr>
          <w:rFonts w:hint="eastAsia" w:hAnsi="宋体" w:cs="宋体"/>
          <w:sz w:val="24"/>
          <w:szCs w:val="24"/>
        </w:rPr>
        <w:t>《</w:t>
      </w:r>
      <w:r>
        <w:rPr>
          <w:rFonts w:hint="eastAsia" w:hAnsi="宋体" w:cs="宋体"/>
          <w:color w:val="000000"/>
          <w:sz w:val="24"/>
          <w:szCs w:val="24"/>
        </w:rPr>
        <w:t>人工增雨(雪)地面催化剂发生器现场检查操作规程》</w:t>
      </w:r>
      <w:r>
        <w:rPr>
          <w:rFonts w:hint="eastAsia" w:hAnsi="宋体" w:cs="宋体"/>
          <w:kern w:val="2"/>
          <w:sz w:val="24"/>
          <w:szCs w:val="24"/>
        </w:rPr>
        <w:t>，完成后要服务于基层作业点，因此本《标准》在编制时充分考虑基层作业点的条件，旗县区多年从事人工增雨（雪）业务人员参与到《标准》编制中，既保证标准的针对性和科技含量，也确保标准的实用性和可操作性。</w:t>
      </w:r>
    </w:p>
    <w:p>
      <w:pPr>
        <w:pStyle w:val="11"/>
        <w:snapToGrid w:val="0"/>
        <w:spacing w:line="500" w:lineRule="exact"/>
        <w:ind w:firstLine="480"/>
        <w:rPr>
          <w:rFonts w:hAnsi="宋体" w:cs="宋体"/>
          <w:kern w:val="2"/>
          <w:sz w:val="24"/>
          <w:szCs w:val="24"/>
        </w:rPr>
      </w:pPr>
      <w:r>
        <w:rPr>
          <w:rFonts w:hAnsi="宋体" w:cs="宋体"/>
          <w:kern w:val="2"/>
          <w:sz w:val="24"/>
          <w:szCs w:val="24"/>
        </w:rPr>
        <w:t>4</w:t>
      </w:r>
      <w:r>
        <w:rPr>
          <w:rFonts w:hint="eastAsia" w:hAnsi="宋体" w:cs="宋体"/>
          <w:kern w:val="2"/>
          <w:sz w:val="24"/>
          <w:szCs w:val="24"/>
        </w:rPr>
        <w:t>、统一性原则</w:t>
      </w:r>
    </w:p>
    <w:p>
      <w:pPr>
        <w:pStyle w:val="11"/>
        <w:snapToGrid w:val="0"/>
        <w:spacing w:line="500" w:lineRule="exact"/>
        <w:ind w:firstLine="480"/>
        <w:rPr>
          <w:rFonts w:hAnsi="宋体" w:cs="宋体"/>
          <w:kern w:val="2"/>
          <w:sz w:val="24"/>
          <w:szCs w:val="24"/>
        </w:rPr>
      </w:pPr>
      <w:r>
        <w:rPr>
          <w:rFonts w:hint="eastAsia" w:hAnsi="宋体" w:cs="宋体"/>
          <w:kern w:val="2"/>
          <w:sz w:val="24"/>
          <w:szCs w:val="24"/>
        </w:rPr>
        <w:t>本文件制定后，目的为统一</w:t>
      </w:r>
      <w:r>
        <w:rPr>
          <w:rFonts w:hint="eastAsia" w:hAnsi="宋体" w:cs="宋体"/>
          <w:color w:val="000000"/>
          <w:sz w:val="24"/>
          <w:szCs w:val="24"/>
        </w:rPr>
        <w:t>人工增雨(雪)地面催化剂发生器现场检查操作规程</w:t>
      </w:r>
      <w:r>
        <w:rPr>
          <w:rFonts w:hint="eastAsia" w:hAnsi="宋体" w:cs="宋体"/>
          <w:kern w:val="2"/>
          <w:sz w:val="24"/>
          <w:szCs w:val="24"/>
        </w:rPr>
        <w:t>，适用于国内各</w:t>
      </w:r>
      <w:r>
        <w:rPr>
          <w:rFonts w:hint="eastAsia" w:hAnsi="宋体" w:cs="宋体"/>
          <w:color w:val="000000"/>
          <w:sz w:val="24"/>
          <w:szCs w:val="24"/>
        </w:rPr>
        <w:t>人工增雨(雪)地面催化剂发生器</w:t>
      </w:r>
      <w:r>
        <w:rPr>
          <w:rFonts w:hint="eastAsia" w:hAnsi="宋体" w:cs="宋体"/>
          <w:kern w:val="2"/>
          <w:sz w:val="24"/>
          <w:szCs w:val="24"/>
        </w:rPr>
        <w:t>生产厂家生产的同类设备，为</w:t>
      </w:r>
      <w:r>
        <w:rPr>
          <w:rFonts w:hint="eastAsia" w:hAnsi="宋体" w:cs="宋体"/>
          <w:sz w:val="24"/>
          <w:szCs w:val="24"/>
        </w:rPr>
        <w:t>保障服务</w:t>
      </w:r>
      <w:r>
        <w:rPr>
          <w:rFonts w:hint="eastAsia" w:hAnsi="宋体" w:cs="宋体"/>
          <w:kern w:val="2"/>
          <w:sz w:val="24"/>
          <w:szCs w:val="24"/>
        </w:rPr>
        <w:t>呼和浩特市农牧林业生产、森林草原防火、生态文明建设以及</w:t>
      </w:r>
      <w:r>
        <w:rPr>
          <w:rFonts w:hint="eastAsia" w:hAnsi="宋体" w:cs="宋体"/>
          <w:sz w:val="24"/>
          <w:szCs w:val="24"/>
        </w:rPr>
        <w:t>重大社会活动人工影响天气保障服务业务稳定安全运行提供技术支持</w:t>
      </w:r>
      <w:r>
        <w:rPr>
          <w:rFonts w:hint="eastAsia" w:hAnsi="宋体" w:cs="宋体"/>
          <w:kern w:val="2"/>
          <w:sz w:val="24"/>
          <w:szCs w:val="24"/>
        </w:rPr>
        <w:t>。因此确定统一</w:t>
      </w:r>
      <w:r>
        <w:rPr>
          <w:rFonts w:hint="eastAsia" w:hAnsi="宋体" w:cs="宋体"/>
          <w:color w:val="000000"/>
          <w:sz w:val="24"/>
          <w:szCs w:val="24"/>
        </w:rPr>
        <w:t>人工增雨(雪)地面催化剂发生器现场检查操作</w:t>
      </w:r>
      <w:r>
        <w:rPr>
          <w:rFonts w:hint="eastAsia" w:hAnsi="宋体" w:cs="宋体"/>
          <w:kern w:val="2"/>
          <w:sz w:val="24"/>
          <w:szCs w:val="24"/>
        </w:rPr>
        <w:t>规程，形成规范的设备现场检查技术，结合历史现场检查经验和技术研究，为今后设备正常运行奠定良好的基础。</w:t>
      </w:r>
    </w:p>
    <w:p>
      <w:pPr>
        <w:spacing w:line="500" w:lineRule="exact"/>
        <w:ind w:firstLine="560" w:firstLineChars="200"/>
        <w:rPr>
          <w:rFonts w:ascii="黑体" w:eastAsia="黑体"/>
          <w:sz w:val="28"/>
          <w:szCs w:val="28"/>
        </w:rPr>
      </w:pPr>
      <w:r>
        <w:rPr>
          <w:rFonts w:hint="eastAsia" w:ascii="黑体" w:eastAsia="黑体"/>
          <w:sz w:val="28"/>
          <w:szCs w:val="28"/>
        </w:rPr>
        <w:t>（二）标准编制依据</w:t>
      </w:r>
    </w:p>
    <w:p>
      <w:pPr>
        <w:pStyle w:val="11"/>
        <w:snapToGrid w:val="0"/>
        <w:spacing w:line="500" w:lineRule="exact"/>
        <w:ind w:firstLine="480"/>
        <w:rPr>
          <w:rFonts w:hAnsi="宋体" w:cs="宋体"/>
          <w:kern w:val="2"/>
          <w:sz w:val="24"/>
          <w:szCs w:val="24"/>
        </w:rPr>
      </w:pPr>
      <w:r>
        <w:rPr>
          <w:rFonts w:hint="eastAsia" w:hAnsi="宋体" w:cs="宋体"/>
          <w:kern w:val="2"/>
          <w:sz w:val="24"/>
          <w:szCs w:val="24"/>
        </w:rPr>
        <w:t>在编制</w:t>
      </w:r>
      <w:r>
        <w:rPr>
          <w:rFonts w:hint="eastAsia" w:hAnsi="宋体" w:cs="宋体"/>
          <w:sz w:val="24"/>
          <w:szCs w:val="24"/>
        </w:rPr>
        <w:t>《</w:t>
      </w:r>
      <w:r>
        <w:rPr>
          <w:rFonts w:hint="eastAsia" w:hAnsi="宋体" w:cs="宋体"/>
          <w:color w:val="000000"/>
          <w:sz w:val="24"/>
          <w:szCs w:val="24"/>
        </w:rPr>
        <w:t>人工增雨(雪)地面催化剂发生器现场检查操作规程》</w:t>
      </w:r>
      <w:r>
        <w:rPr>
          <w:rFonts w:hint="eastAsia" w:hAnsi="宋体" w:cs="宋体"/>
          <w:kern w:val="2"/>
          <w:sz w:val="24"/>
          <w:szCs w:val="24"/>
        </w:rPr>
        <w:t>时，QX/T 151—2012 《人工影响天气术语》（2012年版）；QX/T 297—2015 《地面人工影响天气作业安全管理规范》（2015版）；2023年《QX/T 658—2023 人工增雨（雪）地面催化剂发生器作业要求》仍是其重要规范性引用文件</w:t>
      </w:r>
      <w:r>
        <w:rPr>
          <w:rFonts w:hint="eastAsia" w:hAnsi="宋体" w:cs="宋体"/>
          <w:kern w:val="2"/>
          <w:sz w:val="24"/>
          <w:szCs w:val="24"/>
          <w:lang w:val="en-US" w:eastAsia="zh-CN"/>
        </w:rPr>
        <w:t>,同时查阅了《人工影响天气管理条例》、《内蒙古自治区人工影响天气管理办法》。</w:t>
      </w:r>
      <w:r>
        <w:rPr>
          <w:rFonts w:hint="eastAsia" w:hAnsi="宋体" w:cs="宋体"/>
          <w:kern w:val="2"/>
          <w:sz w:val="24"/>
          <w:szCs w:val="24"/>
        </w:rPr>
        <w:t>在标准中，对术语和定义、</w:t>
      </w:r>
      <w:r>
        <w:rPr>
          <w:rFonts w:hint="eastAsia" w:hAnsi="宋体" w:cs="宋体"/>
          <w:color w:val="000000"/>
          <w:sz w:val="24"/>
          <w:szCs w:val="24"/>
        </w:rPr>
        <w:t>人工增雨(雪)地面催化剂发生器的</w:t>
      </w:r>
      <w:r>
        <w:rPr>
          <w:rFonts w:hint="eastAsia" w:hAnsi="宋体" w:cs="宋体"/>
          <w:kern w:val="2"/>
          <w:sz w:val="24"/>
          <w:szCs w:val="24"/>
        </w:rPr>
        <w:t>作业安全管理规范、作业要求、对几个关键部分的检查进行规定，检查部位选择、检查报告的填写、样式、设备合格或报废意见在附录列入。</w:t>
      </w:r>
    </w:p>
    <w:p>
      <w:pPr>
        <w:spacing w:line="500" w:lineRule="exact"/>
        <w:ind w:firstLine="560" w:firstLineChars="200"/>
        <w:rPr>
          <w:rFonts w:hint="eastAsia" w:ascii="黑体" w:eastAsia="黑体"/>
          <w:sz w:val="28"/>
          <w:szCs w:val="28"/>
        </w:rPr>
      </w:pPr>
      <w:r>
        <w:rPr>
          <w:rFonts w:hint="eastAsia" w:ascii="黑体" w:eastAsia="黑体"/>
          <w:sz w:val="28"/>
          <w:szCs w:val="28"/>
        </w:rPr>
        <w:t>（三）与现行法律、法规、标准的关系</w:t>
      </w:r>
    </w:p>
    <w:p>
      <w:pPr>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本文件主要参考了以下法律、法规、章程。</w:t>
      </w:r>
    </w:p>
    <w:p>
      <w:pPr>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《标准化工作导则、指南和编写规则》《人工影响天气术语》《人工增雨（雪）地面催化剂发生器作业要求》</w:t>
      </w:r>
      <w:r>
        <w:rPr>
          <w:rFonts w:hint="eastAsia" w:ascii="宋体" w:hAnsi="宋体" w:cs="宋体"/>
          <w:kern w:val="2"/>
          <w:sz w:val="24"/>
          <w:szCs w:val="24"/>
          <w:lang w:val="en-US" w:eastAsia="zh-CN" w:bidi="ar-SA"/>
        </w:rPr>
        <w:t>、</w:t>
      </w:r>
      <w:r>
        <w:rPr>
          <w:rFonts w:hint="eastAsia" w:hAnsi="宋体" w:cs="宋体"/>
          <w:kern w:val="2"/>
          <w:sz w:val="24"/>
          <w:szCs w:val="24"/>
          <w:lang w:val="en-US" w:eastAsia="zh-CN"/>
        </w:rPr>
        <w:t>《人工影响天气管理条例》、《内蒙古自治区人工影响天气管理办法》</w:t>
      </w:r>
      <w:r>
        <w:rPr>
          <w:rFonts w:hint="eastAsia" w:ascii="宋体" w:hAnsi="宋体" w:eastAsia="宋体" w:cs="宋体"/>
          <w:kern w:val="2"/>
          <w:sz w:val="24"/>
          <w:szCs w:val="24"/>
          <w:lang w:val="en-US" w:eastAsia="zh-CN" w:bidi="ar-SA"/>
        </w:rPr>
        <w:t>。</w:t>
      </w:r>
    </w:p>
    <w:p>
      <w:pPr>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本文件是新起草的标准，遵循现行法律、法规，无其他标准被代替或废止，与其他相关的强制性标准无冲突。</w:t>
      </w:r>
    </w:p>
    <w:p>
      <w:pPr>
        <w:spacing w:line="500" w:lineRule="exact"/>
        <w:ind w:firstLine="560" w:firstLineChars="200"/>
        <w:rPr>
          <w:rFonts w:ascii="黑体" w:eastAsia="黑体"/>
          <w:sz w:val="28"/>
          <w:szCs w:val="28"/>
        </w:rPr>
      </w:pPr>
      <w:r>
        <w:rPr>
          <w:rFonts w:hint="eastAsia" w:ascii="黑体" w:eastAsia="黑体"/>
          <w:sz w:val="28"/>
          <w:szCs w:val="28"/>
        </w:rPr>
        <w:t>五、主要条款的说明，主要技术指标、参数、试验验证的论述</w:t>
      </w:r>
    </w:p>
    <w:p>
      <w:pPr>
        <w:spacing w:line="500" w:lineRule="exact"/>
        <w:ind w:firstLine="560" w:firstLineChars="200"/>
        <w:rPr>
          <w:rFonts w:hint="eastAsia" w:ascii="黑体" w:eastAsia="黑体"/>
          <w:sz w:val="28"/>
          <w:szCs w:val="28"/>
        </w:rPr>
      </w:pPr>
      <w:r>
        <w:rPr>
          <w:rFonts w:hint="eastAsia" w:ascii="黑体" w:eastAsia="黑体"/>
          <w:sz w:val="28"/>
          <w:szCs w:val="28"/>
        </w:rPr>
        <w:t>（一）主要条款的说明</w:t>
      </w:r>
    </w:p>
    <w:p>
      <w:pPr>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本文件规定了人工增雨（雪）地面催化剂发生器现场检查操作规程的设备现场检查内容。</w:t>
      </w:r>
    </w:p>
    <w:p>
      <w:pPr>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本文件适用于人工增雨（雪）地面催化剂发生器设备各组成部分的现场检查和处置操作。</w:t>
      </w:r>
    </w:p>
    <w:p>
      <w:pPr>
        <w:spacing w:line="500" w:lineRule="exact"/>
        <w:ind w:firstLine="560" w:firstLineChars="200"/>
        <w:rPr>
          <w:rFonts w:ascii="黑体" w:eastAsia="黑体"/>
          <w:sz w:val="28"/>
          <w:szCs w:val="28"/>
        </w:rPr>
      </w:pPr>
      <w:r>
        <w:rPr>
          <w:rFonts w:hint="eastAsia" w:ascii="黑体" w:eastAsia="黑体"/>
          <w:sz w:val="28"/>
          <w:szCs w:val="28"/>
        </w:rPr>
        <w:t>（二）主要技术指标、参数、试验验证的论述</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本标准的主要条款内容包括：范围，规范性引用文件，术语和定义，检查内容，</w:t>
      </w:r>
      <w:r>
        <w:rPr>
          <w:rFonts w:hint="eastAsia" w:ascii="宋体" w:hAnsi="宋体" w:cs="宋体"/>
          <w:color w:val="000000"/>
          <w:kern w:val="0"/>
          <w:sz w:val="24"/>
          <w:szCs w:val="24"/>
          <w:lang w:eastAsia="zh-CN"/>
        </w:rPr>
        <w:t>安全</w:t>
      </w:r>
      <w:r>
        <w:rPr>
          <w:rFonts w:hint="eastAsia" w:ascii="宋体" w:hAnsi="宋体" w:cs="宋体"/>
          <w:color w:val="000000"/>
          <w:kern w:val="0"/>
          <w:sz w:val="24"/>
          <w:szCs w:val="24"/>
        </w:rPr>
        <w:t>处置</w:t>
      </w:r>
      <w:r>
        <w:rPr>
          <w:rFonts w:hint="eastAsia" w:ascii="宋体" w:hAnsi="宋体" w:cs="宋体"/>
          <w:color w:val="000000"/>
          <w:kern w:val="0"/>
          <w:sz w:val="24"/>
          <w:szCs w:val="24"/>
          <w:lang w:eastAsia="zh-CN"/>
        </w:rPr>
        <w:t>操作</w:t>
      </w:r>
      <w:r>
        <w:rPr>
          <w:rFonts w:hint="eastAsia" w:ascii="宋体" w:hAnsi="宋体" w:cs="宋体"/>
          <w:color w:val="000000"/>
          <w:kern w:val="0"/>
          <w:sz w:val="24"/>
          <w:szCs w:val="24"/>
        </w:rPr>
        <w:t>方法，通报和归档，附录，参考文献。</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本标准确定术语定义12条，相关技术规定4条。</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对人工增雨（雪）地面催化剂发生器使用的各类催化剂及相关其他要求进行了规定。</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对人工增雨（雪）地面催化剂发生器作业机构要求进行了规定。</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对设备现场检查的内容、</w:t>
      </w:r>
      <w:r>
        <w:rPr>
          <w:rFonts w:hint="eastAsia" w:ascii="宋体" w:hAnsi="宋体" w:cs="宋体"/>
          <w:color w:val="000000"/>
          <w:kern w:val="0"/>
          <w:sz w:val="24"/>
          <w:szCs w:val="24"/>
          <w:lang w:eastAsia="zh-CN"/>
        </w:rPr>
        <w:t>安全</w:t>
      </w:r>
      <w:r>
        <w:rPr>
          <w:rFonts w:hint="eastAsia" w:ascii="宋体" w:hAnsi="宋体" w:cs="宋体"/>
          <w:color w:val="000000"/>
          <w:kern w:val="0"/>
          <w:sz w:val="24"/>
          <w:szCs w:val="24"/>
        </w:rPr>
        <w:t>处置</w:t>
      </w:r>
      <w:r>
        <w:rPr>
          <w:rFonts w:hint="eastAsia" w:ascii="宋体" w:hAnsi="宋体" w:cs="宋体"/>
          <w:color w:val="000000"/>
          <w:kern w:val="0"/>
          <w:sz w:val="24"/>
          <w:szCs w:val="24"/>
          <w:lang w:eastAsia="zh-CN"/>
        </w:rPr>
        <w:t>操作</w:t>
      </w:r>
      <w:r>
        <w:rPr>
          <w:rFonts w:hint="eastAsia" w:ascii="宋体" w:hAnsi="宋体" w:cs="宋体"/>
          <w:color w:val="000000"/>
          <w:kern w:val="0"/>
          <w:sz w:val="24"/>
          <w:szCs w:val="24"/>
        </w:rPr>
        <w:t>方法进行了规定，并规定了主要技术指标、参数。</w:t>
      </w:r>
    </w:p>
    <w:p>
      <w:pPr>
        <w:spacing w:line="50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对该设备现场检查操作的结果进行通报和归档以及检查报告内容进行了规定。</w:t>
      </w:r>
    </w:p>
    <w:p>
      <w:pPr>
        <w:spacing w:line="500" w:lineRule="exact"/>
        <w:ind w:firstLine="480" w:firstLineChars="200"/>
        <w:rPr>
          <w:rFonts w:ascii="宋体" w:hAnsi="宋体" w:cs="宋体"/>
          <w:sz w:val="24"/>
          <w:szCs w:val="24"/>
        </w:rPr>
      </w:pPr>
      <w:r>
        <w:rPr>
          <w:rFonts w:hint="eastAsia" w:ascii="宋体" w:hAnsi="宋体" w:cs="宋体"/>
          <w:sz w:val="24"/>
          <w:szCs w:val="24"/>
        </w:rPr>
        <w:t>1、试验（验证）论述</w:t>
      </w:r>
    </w:p>
    <w:p>
      <w:pPr>
        <w:spacing w:line="500" w:lineRule="exact"/>
        <w:ind w:firstLine="480" w:firstLineChars="200"/>
        <w:rPr>
          <w:rFonts w:ascii="宋体" w:hAnsi="宋体" w:cs="宋体"/>
          <w:sz w:val="24"/>
          <w:szCs w:val="24"/>
        </w:rPr>
      </w:pPr>
      <w:r>
        <w:rPr>
          <w:rFonts w:hint="eastAsia" w:ascii="宋体" w:hAnsi="宋体" w:cs="宋体"/>
          <w:sz w:val="24"/>
          <w:szCs w:val="24"/>
        </w:rPr>
        <w:t>呼和浩特市使用的QX/T 297—2015 《地面人工影响天气作业安全管理规范》（2015版）；2023年《QX/T 658—2023 人工增雨（雪）地面催化剂发生器作业要求》，</w:t>
      </w:r>
      <w:r>
        <w:rPr>
          <w:rFonts w:hint="eastAsia" w:ascii="宋体" w:hAnsi="宋体" w:cs="宋体"/>
          <w:sz w:val="24"/>
          <w:szCs w:val="24"/>
          <w:lang w:eastAsia="zh-CN"/>
        </w:rPr>
        <w:t>简称</w:t>
      </w:r>
      <w:r>
        <w:rPr>
          <w:rFonts w:hint="eastAsia" w:ascii="宋体" w:hAnsi="宋体" w:cs="宋体"/>
          <w:sz w:val="24"/>
          <w:szCs w:val="24"/>
        </w:rPr>
        <w:t>《规范》和《要求》，</w:t>
      </w:r>
      <w:r>
        <w:rPr>
          <w:rFonts w:hint="eastAsia" w:ascii="宋体" w:hAnsi="宋体" w:cs="宋体"/>
          <w:sz w:val="24"/>
          <w:szCs w:val="24"/>
          <w:lang w:eastAsia="zh-CN"/>
        </w:rPr>
        <w:t>二者</w:t>
      </w:r>
      <w:r>
        <w:rPr>
          <w:rFonts w:hint="eastAsia" w:ascii="宋体" w:hAnsi="宋体" w:cs="宋体"/>
          <w:sz w:val="24"/>
          <w:szCs w:val="24"/>
        </w:rPr>
        <w:t>不包含设备现场检查操作规程的标准。本项目立项后，召集开展有此项业务的旗县区人工影响天气业务人员进行咨询，收到了来自人工影响天气业务一线的实际问题，根据具体问题，编制组进行反复讨论，按照GB/T 1.1—20</w:t>
      </w:r>
      <w:r>
        <w:rPr>
          <w:rFonts w:ascii="宋体" w:hAnsi="宋体" w:cs="宋体"/>
          <w:sz w:val="24"/>
          <w:szCs w:val="24"/>
        </w:rPr>
        <w:t>20</w:t>
      </w:r>
      <w:r>
        <w:rPr>
          <w:rFonts w:hint="eastAsia" w:ascii="宋体" w:hAnsi="宋体" w:cs="宋体"/>
          <w:sz w:val="24"/>
          <w:szCs w:val="24"/>
        </w:rPr>
        <w:t>的要求，编制了《</w:t>
      </w:r>
      <w:r>
        <w:rPr>
          <w:rFonts w:hint="eastAsia" w:ascii="宋体" w:hAnsi="宋体" w:cs="宋体"/>
          <w:color w:val="000000"/>
          <w:kern w:val="0"/>
          <w:sz w:val="24"/>
          <w:szCs w:val="24"/>
        </w:rPr>
        <w:t>人工增雨(雪)地面催化剂发生器现场检查操作规程》</w:t>
      </w:r>
      <w:r>
        <w:rPr>
          <w:rFonts w:hint="eastAsia" w:ascii="宋体" w:hAnsi="宋体" w:cs="宋体"/>
          <w:sz w:val="24"/>
          <w:szCs w:val="24"/>
        </w:rPr>
        <w:t>初稿，再一次分发给全市各旗县区人工影响天气作业单位，进行试运行操作验证及讨论。各作业单位均反应标准格式的《</w:t>
      </w:r>
      <w:r>
        <w:rPr>
          <w:rFonts w:hint="eastAsia" w:ascii="宋体" w:hAnsi="宋体" w:cs="宋体"/>
          <w:color w:val="000000"/>
          <w:kern w:val="0"/>
          <w:sz w:val="24"/>
          <w:szCs w:val="24"/>
        </w:rPr>
        <w:t>人工增雨(雪)地面催化剂发生器现场检查操作规程》</w:t>
      </w:r>
      <w:r>
        <w:rPr>
          <w:rFonts w:hint="eastAsia" w:ascii="宋体" w:hAnsi="宋体" w:cs="宋体"/>
          <w:sz w:val="24"/>
          <w:szCs w:val="24"/>
        </w:rPr>
        <w:t>可操作性强，更具有适用性。</w:t>
      </w:r>
    </w:p>
    <w:p>
      <w:pPr>
        <w:pStyle w:val="11"/>
        <w:spacing w:line="500" w:lineRule="exact"/>
        <w:ind w:firstLine="480"/>
        <w:rPr>
          <w:rFonts w:hAnsi="宋体" w:cs="宋体"/>
          <w:kern w:val="2"/>
          <w:sz w:val="24"/>
          <w:szCs w:val="24"/>
        </w:rPr>
      </w:pPr>
      <w:r>
        <w:rPr>
          <w:rFonts w:hint="eastAsia" w:hAnsi="宋体" w:cs="宋体"/>
          <w:kern w:val="2"/>
          <w:sz w:val="24"/>
          <w:szCs w:val="24"/>
        </w:rPr>
        <w:t>本文件的主要起草和编制成员有从事</w:t>
      </w:r>
      <w:r>
        <w:rPr>
          <w:rFonts w:hint="eastAsia" w:hAnsi="宋体" w:cs="宋体"/>
          <w:sz w:val="24"/>
          <w:szCs w:val="24"/>
        </w:rPr>
        <w:t>人工影响天气业务</w:t>
      </w:r>
      <w:r>
        <w:rPr>
          <w:rFonts w:hint="eastAsia" w:hAnsi="宋体" w:cs="宋体"/>
          <w:kern w:val="2"/>
          <w:sz w:val="24"/>
          <w:szCs w:val="24"/>
        </w:rPr>
        <w:t>近2</w:t>
      </w:r>
      <w:r>
        <w:rPr>
          <w:rFonts w:hAnsi="宋体" w:cs="宋体"/>
          <w:kern w:val="2"/>
          <w:sz w:val="24"/>
          <w:szCs w:val="24"/>
        </w:rPr>
        <w:t>0</w:t>
      </w:r>
      <w:r>
        <w:rPr>
          <w:rFonts w:hint="eastAsia" w:hAnsi="宋体" w:cs="宋体"/>
          <w:kern w:val="2"/>
          <w:sz w:val="24"/>
          <w:szCs w:val="24"/>
        </w:rPr>
        <w:t>年的专家及多名从事人工影响天气业务骨干成员、设备研发人员、维修维护人员、以及人工影响天气业务管理人员。征求意见专家为内蒙古自治区市场监督管理局、内蒙古自治区人工影响天气中心、内蒙古自治区气候中心、呼和浩特市人工影响天气中心、呼和浩特人工影响天气气象灾害防御管理办公室等业务技术人员，及</w:t>
      </w:r>
      <w:r>
        <w:rPr>
          <w:rFonts w:hint="eastAsia" w:hAnsi="宋体" w:cs="宋体"/>
          <w:sz w:val="24"/>
          <w:szCs w:val="24"/>
        </w:rPr>
        <w:t>内蒙古北方保安民爆器材有限公司（556厂）</w:t>
      </w:r>
      <w:r>
        <w:rPr>
          <w:rFonts w:hint="eastAsia" w:hAnsi="宋体" w:cs="宋体"/>
          <w:kern w:val="2"/>
          <w:sz w:val="24"/>
          <w:szCs w:val="24"/>
        </w:rPr>
        <w:t>的设备维修维护检查技术专家，使得标准越来越完善，适用性也得到很大提高。</w:t>
      </w:r>
    </w:p>
    <w:p>
      <w:pPr>
        <w:spacing w:line="500" w:lineRule="exact"/>
        <w:ind w:firstLine="480" w:firstLineChars="200"/>
        <w:rPr>
          <w:rFonts w:ascii="宋体" w:hAnsi="宋体" w:cs="宋体"/>
          <w:sz w:val="24"/>
          <w:szCs w:val="24"/>
        </w:rPr>
      </w:pPr>
      <w:r>
        <w:rPr>
          <w:rFonts w:hint="eastAsia" w:ascii="宋体" w:hAnsi="宋体" w:cs="宋体"/>
          <w:sz w:val="24"/>
          <w:szCs w:val="24"/>
        </w:rPr>
        <w:t>2、技术指标分析</w:t>
      </w:r>
    </w:p>
    <w:p>
      <w:pPr>
        <w:spacing w:line="500" w:lineRule="exact"/>
        <w:ind w:firstLine="480" w:firstLineChars="200"/>
        <w:rPr>
          <w:rFonts w:ascii="宋体" w:hAnsi="宋体" w:cs="宋体"/>
          <w:sz w:val="24"/>
          <w:szCs w:val="24"/>
        </w:rPr>
      </w:pPr>
      <w:r>
        <w:rPr>
          <w:rFonts w:hint="eastAsia" w:ascii="宋体" w:hAnsi="宋体" w:cs="宋体"/>
          <w:sz w:val="24"/>
          <w:szCs w:val="24"/>
        </w:rPr>
        <w:t>主要分析设备几个部分主要技术指标，从而确定各部分是否出现故障，需要维修维护或更换的部位、</w:t>
      </w:r>
      <w:r>
        <w:rPr>
          <w:rFonts w:hint="eastAsia" w:ascii="宋体" w:hAnsi="宋体" w:cs="宋体"/>
          <w:sz w:val="24"/>
          <w:szCs w:val="24"/>
          <w:lang w:eastAsia="zh-CN"/>
        </w:rPr>
        <w:t>安全</w:t>
      </w:r>
      <w:r>
        <w:rPr>
          <w:rFonts w:hint="eastAsia" w:ascii="宋体" w:hAnsi="宋体" w:cs="宋体"/>
          <w:sz w:val="24"/>
          <w:szCs w:val="24"/>
        </w:rPr>
        <w:t>检查测试处置方法等。</w:t>
      </w:r>
    </w:p>
    <w:p>
      <w:pPr>
        <w:spacing w:line="500" w:lineRule="exact"/>
        <w:ind w:firstLine="480" w:firstLineChars="200"/>
        <w:rPr>
          <w:rFonts w:ascii="宋体" w:hAnsi="宋体" w:cs="宋体"/>
          <w:sz w:val="24"/>
          <w:szCs w:val="24"/>
        </w:rPr>
      </w:pPr>
      <w:r>
        <w:rPr>
          <w:rFonts w:hint="eastAsia" w:ascii="宋体" w:hAnsi="宋体" w:cs="宋体"/>
          <w:sz w:val="24"/>
          <w:szCs w:val="24"/>
        </w:rPr>
        <w:t>对地面催化剂发生器系统的现场硬件设备和远程指挥软件平台构成的作业系统进行检查分析，系统组成及主要检查内容包括：</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a） 烟条</w:t>
      </w:r>
      <w:r>
        <w:rPr>
          <w:rFonts w:hint="eastAsia" w:ascii="宋体" w:hAnsi="宋体" w:cs="宋体"/>
          <w:sz w:val="24"/>
          <w:szCs w:val="24"/>
          <w:lang w:eastAsia="zh-CN"/>
        </w:rPr>
        <w:t>；</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b） 地面发生器炉体</w:t>
      </w:r>
      <w:r>
        <w:rPr>
          <w:rFonts w:hint="eastAsia" w:ascii="宋体" w:hAnsi="宋体" w:cs="宋体"/>
          <w:sz w:val="24"/>
          <w:szCs w:val="24"/>
          <w:lang w:eastAsia="zh-CN"/>
        </w:rPr>
        <w:t>；</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c） 太阳能供电系统</w:t>
      </w:r>
      <w:r>
        <w:rPr>
          <w:rFonts w:hint="eastAsia" w:ascii="宋体" w:hAnsi="宋体" w:cs="宋体"/>
          <w:sz w:val="24"/>
          <w:szCs w:val="24"/>
          <w:lang w:eastAsia="zh-CN"/>
        </w:rPr>
        <w:t>；</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d） 点火控制系统</w:t>
      </w:r>
      <w:r>
        <w:rPr>
          <w:rFonts w:hint="eastAsia" w:ascii="宋体" w:hAnsi="宋体" w:cs="宋体"/>
          <w:sz w:val="24"/>
          <w:szCs w:val="24"/>
          <w:lang w:eastAsia="zh-CN"/>
        </w:rPr>
        <w:t>；</w:t>
      </w:r>
    </w:p>
    <w:p>
      <w:pPr>
        <w:spacing w:line="500" w:lineRule="exact"/>
        <w:ind w:firstLine="480" w:firstLineChars="200"/>
        <w:rPr>
          <w:rFonts w:ascii="宋体" w:hAnsi="宋体" w:cs="宋体"/>
          <w:sz w:val="24"/>
          <w:szCs w:val="24"/>
        </w:rPr>
      </w:pPr>
      <w:r>
        <w:rPr>
          <w:rFonts w:hint="eastAsia" w:ascii="宋体" w:hAnsi="宋体" w:cs="宋体"/>
          <w:sz w:val="24"/>
          <w:szCs w:val="24"/>
        </w:rPr>
        <w:t>e） 计算机控制系统</w:t>
      </w:r>
      <w:r>
        <w:rPr>
          <w:rFonts w:hint="eastAsia" w:ascii="宋体" w:hAnsi="宋体" w:cs="宋体"/>
          <w:sz w:val="24"/>
          <w:szCs w:val="24"/>
          <w:lang w:eastAsia="zh-CN"/>
        </w:rPr>
        <w:t>；</w:t>
      </w:r>
      <w:r>
        <w:rPr>
          <w:rFonts w:ascii="宋体" w:hAnsi="宋体" w:cs="宋体"/>
          <w:sz w:val="24"/>
          <w:szCs w:val="24"/>
        </w:rPr>
        <w:t xml:space="preserve"> </w:t>
      </w:r>
    </w:p>
    <w:p>
      <w:pPr>
        <w:spacing w:line="500" w:lineRule="exact"/>
        <w:ind w:firstLine="480" w:firstLineChars="200"/>
        <w:rPr>
          <w:rFonts w:ascii="宋体" w:hAnsi="宋体" w:cs="宋体"/>
          <w:sz w:val="24"/>
          <w:szCs w:val="24"/>
        </w:rPr>
      </w:pPr>
      <w:r>
        <w:rPr>
          <w:rFonts w:hint="eastAsia" w:ascii="宋体" w:hAnsi="宋体" w:cs="宋体"/>
          <w:sz w:val="24"/>
          <w:szCs w:val="24"/>
        </w:rPr>
        <w:t xml:space="preserve">f） </w:t>
      </w:r>
      <w:r>
        <w:rPr>
          <w:rFonts w:hint="eastAsia" w:ascii="宋体" w:hAnsi="宋体" w:cs="宋体"/>
          <w:sz w:val="24"/>
          <w:szCs w:val="24"/>
          <w:lang w:eastAsia="zh-CN"/>
        </w:rPr>
        <w:t>远程通讯数据传输系统</w:t>
      </w:r>
      <w:r>
        <w:rPr>
          <w:rFonts w:hint="eastAsia" w:ascii="宋体" w:hAnsi="宋体" w:cs="宋体"/>
          <w:sz w:val="24"/>
          <w:szCs w:val="24"/>
        </w:rPr>
        <w:t>。</w:t>
      </w:r>
    </w:p>
    <w:p>
      <w:pPr>
        <w:spacing w:line="500" w:lineRule="exact"/>
        <w:ind w:firstLine="480" w:firstLineChars="200"/>
        <w:rPr>
          <w:rFonts w:ascii="宋体" w:hAnsi="宋体" w:cs="宋体"/>
          <w:sz w:val="24"/>
          <w:szCs w:val="24"/>
        </w:rPr>
      </w:pPr>
      <w:r>
        <w:rPr>
          <w:rFonts w:hint="eastAsia" w:ascii="宋体" w:hAnsi="宋体" w:cs="宋体"/>
          <w:sz w:val="24"/>
          <w:szCs w:val="24"/>
        </w:rPr>
        <w:t>对上述部分的检查均提出了检查内容和处置方法，进行了相应的故障原因分析和检查合格与否的技术指标规定及其他相关内容。</w:t>
      </w:r>
    </w:p>
    <w:p>
      <w:pPr>
        <w:spacing w:line="500" w:lineRule="exact"/>
        <w:ind w:firstLine="480" w:firstLineChars="200"/>
        <w:rPr>
          <w:rFonts w:ascii="宋体" w:hAnsi="宋体" w:cs="宋体"/>
          <w:sz w:val="24"/>
          <w:szCs w:val="24"/>
        </w:rPr>
      </w:pPr>
      <w:r>
        <w:rPr>
          <w:rFonts w:hint="eastAsia" w:ascii="宋体" w:hAnsi="宋体" w:cs="宋体"/>
          <w:sz w:val="24"/>
          <w:szCs w:val="24"/>
        </w:rPr>
        <w:t>3、科学研究</w:t>
      </w:r>
    </w:p>
    <w:p>
      <w:pPr>
        <w:pStyle w:val="11"/>
        <w:snapToGrid w:val="0"/>
        <w:spacing w:line="500" w:lineRule="exact"/>
        <w:ind w:firstLine="480"/>
        <w:rPr>
          <w:rFonts w:hAnsi="宋体" w:cs="宋体"/>
          <w:kern w:val="2"/>
          <w:sz w:val="24"/>
          <w:szCs w:val="24"/>
        </w:rPr>
      </w:pPr>
      <w:r>
        <w:rPr>
          <w:rFonts w:hint="eastAsia" w:hAnsi="宋体" w:cs="宋体"/>
          <w:sz w:val="24"/>
          <w:szCs w:val="24"/>
        </w:rPr>
        <w:t>该标准草案不属于有科研成果支撑的项目，但有与该标准草案相关的科研项目和建设项目，如内蒙古气象局科技创新项目：黄河流域内蒙古段雨滴谱特征及WRF模式参数化方案研究（项目编号：nmqxkjcx202205）；华北区域重大社会活动人工影响天气保障服务建设项目“华北区域人工影响天气能力建设”；内蒙古自治区气象局人工影响天气重大科研项目《河套地区高炮防雹“一核引领、三化协同”标准化模式》，呼和浩特市气象局科技创新项目“呼和浩特市人工影响天气作业指标研究”等，申请者多年来从事人工影响天气科学研究、人工影响天气技术开发应用、气象数据分析、气象科技服务等相关工作。2020-2021年参加完成“华北区域重大活动人工影响天气能力建设工程（内蒙古）”编写工作，为编写组主要成员。2018- 2023年执笔和参加完成人工影响天气岗位规章制度、工作流程、事故处置应急预案等多项工作，主持和参加科研项目20多项，发表科研论文20多篇，参加出版论著3部，获得国家专利2项，积累了呼和浩特市多年</w:t>
      </w:r>
      <w:r>
        <w:rPr>
          <w:rFonts w:hint="eastAsia" w:hAnsi="宋体" w:cs="宋体"/>
          <w:color w:val="000000"/>
          <w:sz w:val="24"/>
          <w:szCs w:val="24"/>
        </w:rPr>
        <w:t>人工增雨(雪)地面催化剂发生器现场检查操作技术资料和维修维护经验</w:t>
      </w:r>
      <w:r>
        <w:rPr>
          <w:rFonts w:hint="eastAsia" w:hAnsi="宋体" w:cs="宋体"/>
          <w:color w:val="000000"/>
          <w:sz w:val="24"/>
          <w:szCs w:val="24"/>
          <w:lang w:eastAsia="zh-CN"/>
        </w:rPr>
        <w:t>，并进行归纳</w:t>
      </w:r>
      <w:r>
        <w:rPr>
          <w:rFonts w:hint="eastAsia" w:hAnsi="宋体" w:cs="宋体"/>
          <w:color w:val="000000"/>
          <w:sz w:val="24"/>
          <w:szCs w:val="24"/>
        </w:rPr>
        <w:t>总结</w:t>
      </w:r>
      <w:r>
        <w:rPr>
          <w:rFonts w:hint="eastAsia" w:hAnsi="宋体" w:cs="宋体"/>
          <w:sz w:val="24"/>
          <w:szCs w:val="24"/>
        </w:rPr>
        <w:t>，</w:t>
      </w:r>
      <w:r>
        <w:rPr>
          <w:rFonts w:hint="eastAsia" w:hAnsi="宋体" w:cs="宋体"/>
          <w:kern w:val="2"/>
          <w:sz w:val="24"/>
          <w:szCs w:val="24"/>
        </w:rPr>
        <w:t>为制定《</w:t>
      </w:r>
      <w:r>
        <w:rPr>
          <w:rFonts w:hint="eastAsia" w:hAnsi="宋体" w:cs="宋体"/>
          <w:color w:val="000000"/>
          <w:sz w:val="24"/>
          <w:szCs w:val="24"/>
        </w:rPr>
        <w:t>人工增雨(雪)地面催化剂发生器现场检查操作规程》</w:t>
      </w:r>
      <w:r>
        <w:rPr>
          <w:rFonts w:hint="eastAsia" w:hAnsi="宋体" w:cs="宋体"/>
          <w:kern w:val="2"/>
          <w:sz w:val="24"/>
          <w:szCs w:val="24"/>
        </w:rPr>
        <w:t>地方标准奠定了</w:t>
      </w:r>
      <w:r>
        <w:rPr>
          <w:rFonts w:hint="eastAsia" w:hAnsi="宋体" w:cs="宋体"/>
          <w:kern w:val="2"/>
          <w:sz w:val="24"/>
          <w:szCs w:val="24"/>
          <w:lang w:eastAsia="zh-CN"/>
        </w:rPr>
        <w:t>坚实</w:t>
      </w:r>
      <w:r>
        <w:rPr>
          <w:rFonts w:hint="eastAsia" w:hAnsi="宋体" w:cs="宋体"/>
          <w:kern w:val="2"/>
          <w:sz w:val="24"/>
          <w:szCs w:val="24"/>
        </w:rPr>
        <w:t>基础。</w:t>
      </w:r>
    </w:p>
    <w:p>
      <w:pPr>
        <w:spacing w:line="500" w:lineRule="exact"/>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、社会效益分析</w:t>
      </w:r>
    </w:p>
    <w:p>
      <w:pPr>
        <w:pStyle w:val="5"/>
        <w:spacing w:before="0" w:beforeAutospacing="0" w:after="0" w:afterAutospacing="0" w:line="480" w:lineRule="atLeast"/>
        <w:ind w:firstLine="480"/>
      </w:pPr>
      <w:r>
        <w:rPr>
          <w:rFonts w:hint="eastAsia"/>
          <w:color w:val="000000"/>
        </w:rPr>
        <w:t>人工增雨(雪)地面催化剂发生器是</w:t>
      </w:r>
      <w:r>
        <w:rPr>
          <w:rFonts w:hint="eastAsia"/>
          <w:kern w:val="2"/>
        </w:rPr>
        <w:t>人工影响天气作业的主要作业手段之一，具有独特的优势，适合于布设在高山上升气流强盛的迎风坡，不用申请空域，随时在适合增雨（雪）作业的时候进行作业。通过定期检查维护维修，可以为其稳定运行提供技术保障和安全性保障。首府呼和浩特市人工影响天气业务将围绕落实好总书记交给内蒙古自治区的“五大任务”和全方位建设模范自治区两件大事，充分发挥人工影响天气在呼和浩特市地区防汛抗旱、降低森林草原火险等级、保障粮食安全、生态修复等方面的重要作用，在建设国家重要农畜产品生产基地、筑牢北方重要生态安全屏障、助力乡村振兴、保障粮食安全等方面再立新功，以实际行动推动《气象高质量发展纲要（2022-2035年）》和《关于推动内蒙古高质量发展奋力书写中国式现代化新篇章的意见》在首府呼和浩特市落地落实。该地标制定工作的完成，对指导地面催化剂发生器实施人工影响天气增雨（雪）作业为农牧林业生产活动、森林草原防火、水源涵养、生态环境建设和重大社会活动保障服务具有较高的参考价值，在实践中具有重要的指导意义，社会效益显著。</w:t>
      </w:r>
    </w:p>
    <w:p>
      <w:pPr>
        <w:spacing w:line="500" w:lineRule="exact"/>
        <w:ind w:firstLine="560" w:firstLineChars="200"/>
        <w:rPr>
          <w:rFonts w:ascii="黑体" w:eastAsia="黑体"/>
          <w:sz w:val="28"/>
          <w:szCs w:val="28"/>
        </w:rPr>
      </w:pPr>
      <w:r>
        <w:rPr>
          <w:rFonts w:hint="eastAsia" w:ascii="黑体" w:eastAsia="黑体"/>
          <w:sz w:val="28"/>
          <w:szCs w:val="28"/>
        </w:rPr>
        <w:t>六、重大意见分歧的处理依据和结果</w:t>
      </w:r>
    </w:p>
    <w:p>
      <w:pPr>
        <w:spacing w:line="500" w:lineRule="exact"/>
        <w:ind w:firstLine="480" w:firstLineChars="200"/>
        <w:rPr>
          <w:rFonts w:ascii="宋体" w:hAnsi="宋体" w:cs="宋体"/>
          <w:sz w:val="24"/>
          <w:szCs w:val="24"/>
        </w:rPr>
      </w:pPr>
      <w:r>
        <w:rPr>
          <w:rFonts w:hint="eastAsia" w:ascii="宋体" w:hAnsi="宋体" w:cs="宋体"/>
          <w:sz w:val="24"/>
          <w:szCs w:val="24"/>
        </w:rPr>
        <w:t>标准起草小组就取得的成果及制定意见向本行业、本领域的专家及社会广泛征求了意见。开展了论证，并接受技术审查，邀请了内蒙古自治区市场监督管理局、呼和浩特市市场监督管理局、内蒙古自治区人工影响天气中心、内蒙古自治区气候中心、呼和浩特市人工影响天气中心、呼和浩特市人工影响天气办公室、乌兰察布市人工影响天气办公室、乌海市人工影响天气办公室、内蒙古北方保安民爆器材有限公司（556厂）等单位相关专家对标准制定的必要性、可行性、科学性进行了分析评估，得到了专家的一致同意：符合当地实际需求，在人工影响天气业务中可行，同意采纳，没有重大意见分歧。</w:t>
      </w:r>
    </w:p>
    <w:p>
      <w:pPr>
        <w:spacing w:line="500" w:lineRule="exact"/>
        <w:ind w:firstLine="560" w:firstLineChars="200"/>
        <w:rPr>
          <w:rFonts w:ascii="黑体" w:eastAsia="黑体"/>
          <w:sz w:val="28"/>
          <w:szCs w:val="28"/>
        </w:rPr>
      </w:pPr>
      <w:r>
        <w:rPr>
          <w:rFonts w:hint="eastAsia" w:ascii="黑体" w:eastAsia="黑体"/>
          <w:sz w:val="28"/>
          <w:szCs w:val="28"/>
        </w:rPr>
        <w:t>七、采用国际标准或国外先进标准的，说明采标程度，以及国内外同类标准水平的对比情况</w:t>
      </w:r>
    </w:p>
    <w:p>
      <w:pPr>
        <w:pStyle w:val="11"/>
        <w:snapToGrid w:val="0"/>
        <w:spacing w:line="500" w:lineRule="exact"/>
        <w:ind w:firstLine="480"/>
        <w:rPr>
          <w:rFonts w:hAnsi="宋体" w:cs="宋体"/>
          <w:kern w:val="2"/>
          <w:sz w:val="24"/>
          <w:szCs w:val="24"/>
        </w:rPr>
      </w:pPr>
      <w:r>
        <w:rPr>
          <w:rFonts w:hint="eastAsia" w:hAnsi="宋体" w:cs="宋体"/>
          <w:kern w:val="2"/>
          <w:sz w:val="24"/>
          <w:szCs w:val="24"/>
        </w:rPr>
        <w:t>无。</w:t>
      </w:r>
    </w:p>
    <w:p>
      <w:pPr>
        <w:spacing w:line="500" w:lineRule="exact"/>
        <w:ind w:firstLine="560" w:firstLineChars="200"/>
        <w:rPr>
          <w:rFonts w:ascii="黑体" w:eastAsia="黑体"/>
          <w:sz w:val="28"/>
          <w:szCs w:val="28"/>
        </w:rPr>
      </w:pPr>
      <w:r>
        <w:rPr>
          <w:rFonts w:hint="eastAsia" w:ascii="黑体" w:eastAsia="黑体"/>
          <w:sz w:val="28"/>
          <w:szCs w:val="28"/>
        </w:rPr>
        <w:t>八、推广实施（包括实施措施，实施方向，如以标准为依据开展的产业推进、行业管理等有关活动，预期的经济效益、社会效益和生态效益等）</w:t>
      </w:r>
    </w:p>
    <w:p>
      <w:pPr>
        <w:spacing w:line="500" w:lineRule="exact"/>
        <w:ind w:firstLine="560" w:firstLineChars="200"/>
        <w:rPr>
          <w:rFonts w:ascii="黑体" w:eastAsia="黑体"/>
          <w:sz w:val="28"/>
          <w:szCs w:val="28"/>
        </w:rPr>
      </w:pPr>
      <w:r>
        <w:rPr>
          <w:rFonts w:hint="eastAsia" w:ascii="黑体" w:eastAsia="黑体"/>
          <w:sz w:val="28"/>
          <w:szCs w:val="28"/>
        </w:rPr>
        <w:t>（一）实施措施</w:t>
      </w:r>
    </w:p>
    <w:p>
      <w:pPr>
        <w:spacing w:line="500" w:lineRule="exact"/>
        <w:ind w:firstLine="480" w:firstLineChars="200"/>
        <w:rPr>
          <w:rFonts w:ascii="宋体" w:hAnsi="宋体" w:cs="宋体"/>
          <w:sz w:val="24"/>
          <w:szCs w:val="24"/>
        </w:rPr>
      </w:pPr>
      <w:r>
        <w:rPr>
          <w:rFonts w:hint="eastAsia" w:ascii="宋体" w:hAnsi="宋体" w:cs="宋体"/>
          <w:sz w:val="24"/>
          <w:szCs w:val="24"/>
        </w:rPr>
        <w:t>1、产业推进工作</w:t>
      </w:r>
    </w:p>
    <w:p>
      <w:pPr>
        <w:spacing w:line="500" w:lineRule="exact"/>
        <w:ind w:firstLine="480" w:firstLineChars="200"/>
        <w:rPr>
          <w:rFonts w:ascii="宋体" w:hAnsi="宋体" w:cs="宋体"/>
          <w:sz w:val="24"/>
          <w:szCs w:val="24"/>
        </w:rPr>
      </w:pPr>
      <w:r>
        <w:rPr>
          <w:rFonts w:hint="eastAsia" w:ascii="宋体" w:hAnsi="宋体" w:cs="宋体"/>
          <w:sz w:val="24"/>
          <w:szCs w:val="24"/>
        </w:rPr>
        <w:t>（1）已健全人工增雨（雪）地面催化剂发生器监测安全管理网络。目前呼和浩特市人工增雨（雪）地面催化剂发生器已经纳入内蒙古人工影响天气综合业务系统、人工影响天气物联网弹药管理系统，人工影响天气安全管理平台，中国气象局人工影响天气中心、内蒙古自治区人工影响天气中心、呼和浩特市人工影响天气中心以及各旗县区人影办均已组建上述网络，系统可覆盖全市不同地区。</w:t>
      </w:r>
    </w:p>
    <w:p>
      <w:pPr>
        <w:spacing w:line="500" w:lineRule="exact"/>
        <w:ind w:firstLine="480" w:firstLineChars="200"/>
        <w:rPr>
          <w:rFonts w:ascii="宋体" w:hAnsi="宋体" w:cs="宋体"/>
          <w:sz w:val="24"/>
          <w:szCs w:val="24"/>
        </w:rPr>
      </w:pPr>
      <w:r>
        <w:rPr>
          <w:rFonts w:hint="eastAsia" w:ascii="宋体" w:hAnsi="宋体" w:cs="宋体"/>
          <w:sz w:val="24"/>
          <w:szCs w:val="24"/>
        </w:rPr>
        <w:t>（2）提升人工增雨（雪）地面催化剂发生器气象抗旱防灾减灾能力。近年来各旗县区陆续引进人工增雨（雪）地面催化剂发生器设备，不断提高人工增雨（雪）地面催化剂发生器作业效果和作业能力，提高了气象抗旱防灾减灾能力。</w:t>
      </w:r>
    </w:p>
    <w:p>
      <w:pPr>
        <w:spacing w:line="500" w:lineRule="exact"/>
        <w:ind w:firstLine="480" w:firstLineChars="200"/>
        <w:rPr>
          <w:rFonts w:ascii="宋体" w:hAnsi="宋体" w:cs="宋体"/>
          <w:sz w:val="24"/>
          <w:szCs w:val="24"/>
        </w:rPr>
      </w:pPr>
      <w:r>
        <w:rPr>
          <w:rFonts w:hint="eastAsia" w:ascii="宋体" w:hAnsi="宋体" w:cs="宋体"/>
          <w:sz w:val="24"/>
          <w:szCs w:val="24"/>
        </w:rPr>
        <w:t>（3）加强人工增雨（雪）地面催化剂发生器作业数据的整合与分享。统一了人工增雨（雪）地面催化剂发生器联网要求，各旗县区人工增雨（雪）地面催化剂发生器作业数据及设备检查维修维护数据统一要求上传呼和浩特市气象局管理部门，进行集中管理，归档及共享，为全市人工影响天气工作提供科学依据。</w:t>
      </w:r>
    </w:p>
    <w:p>
      <w:pPr>
        <w:spacing w:line="500" w:lineRule="exact"/>
        <w:ind w:firstLine="480" w:firstLineChars="200"/>
        <w:rPr>
          <w:rFonts w:ascii="宋体" w:hAnsi="宋体" w:cs="宋体"/>
          <w:sz w:val="24"/>
          <w:szCs w:val="24"/>
        </w:rPr>
      </w:pPr>
      <w:r>
        <w:rPr>
          <w:rFonts w:hint="eastAsia" w:ascii="宋体" w:hAnsi="宋体" w:cs="宋体"/>
          <w:sz w:val="24"/>
          <w:szCs w:val="24"/>
        </w:rPr>
        <w:t>（4）开展地面催化剂发生器人工增雨（雪）检查业务。基于主要干旱气象灾害等气象数据分析，结合呼和浩特市农牧林业等对人工增雨（雪）的需求，该设备检查操作规程可以为开展地面催化剂发生器人工增雨（雪）作业保障服务，为农牧林业防灾减灾、森林草原防火、生态环境建设和重大社会活动人工影响天气保障服务提供科技支撑。</w:t>
      </w:r>
    </w:p>
    <w:p>
      <w:pPr>
        <w:spacing w:line="500" w:lineRule="exact"/>
        <w:ind w:firstLine="480" w:firstLineChars="200"/>
        <w:rPr>
          <w:rFonts w:ascii="宋体" w:hAnsi="宋体" w:cs="宋体"/>
          <w:sz w:val="24"/>
          <w:szCs w:val="24"/>
        </w:rPr>
      </w:pPr>
      <w:r>
        <w:rPr>
          <w:rFonts w:hint="eastAsia" w:ascii="宋体" w:hAnsi="宋体" w:cs="宋体"/>
          <w:sz w:val="24"/>
          <w:szCs w:val="24"/>
        </w:rPr>
        <w:t>（5）推动地面催化剂发生器人工增雨（雪）业务科技创新。近年来，呼和浩特市气象局加强对人工影响天气领域的研究和技术创新，与内蒙古自治区人工影响天气中心、呼和浩特市农牧局、呼和浩特市林业和草原局等相关单位深度合作，开展人工影响天气作业气象指标研究和作业效果检验等研究，同时采用人工影响天气作业数据与人工影响天气模式预报产品相互验证，为构建人工影响天气的耦合模型，实现对呼和浩特市地区抗旱防灾减灾等决策工作提供技术支持。</w:t>
      </w:r>
    </w:p>
    <w:p>
      <w:pPr>
        <w:spacing w:line="500" w:lineRule="exact"/>
        <w:ind w:firstLine="480" w:firstLineChars="200"/>
        <w:rPr>
          <w:rFonts w:ascii="宋体" w:hAnsi="宋体" w:cs="宋体"/>
          <w:sz w:val="24"/>
          <w:szCs w:val="24"/>
        </w:rPr>
      </w:pPr>
      <w:r>
        <w:rPr>
          <w:rFonts w:hint="eastAsia" w:ascii="宋体" w:hAnsi="宋体" w:cs="宋体"/>
          <w:sz w:val="24"/>
          <w:szCs w:val="24"/>
        </w:rPr>
        <w:t>2、行业管理行为</w:t>
      </w:r>
    </w:p>
    <w:p>
      <w:pPr>
        <w:spacing w:line="500" w:lineRule="exact"/>
        <w:ind w:firstLine="480" w:firstLineChars="200"/>
        <w:rPr>
          <w:rFonts w:ascii="宋体" w:hAnsi="宋体" w:cs="宋体"/>
          <w:sz w:val="24"/>
          <w:szCs w:val="24"/>
        </w:rPr>
      </w:pPr>
      <w:r>
        <w:rPr>
          <w:rFonts w:hint="eastAsia" w:ascii="宋体" w:hAnsi="宋体" w:cs="宋体"/>
          <w:sz w:val="24"/>
          <w:szCs w:val="24"/>
        </w:rPr>
        <w:t>（1）按照文件要求，对地面催化剂发生器人工增雨（雪）作业数据及维修检查数据开展调研、试验，规范人工增雨（雪）地面催化剂发生器检查操作流程，并及时、准确记录及保存检查数据，进行归档。</w:t>
      </w:r>
    </w:p>
    <w:p>
      <w:pPr>
        <w:spacing w:line="500" w:lineRule="exact"/>
        <w:ind w:firstLine="480" w:firstLineChars="200"/>
        <w:rPr>
          <w:rFonts w:ascii="宋体" w:hAnsi="宋体" w:cs="宋体"/>
          <w:sz w:val="24"/>
          <w:szCs w:val="24"/>
        </w:rPr>
      </w:pPr>
      <w:r>
        <w:rPr>
          <w:rFonts w:hint="eastAsia" w:ascii="宋体" w:hAnsi="宋体" w:cs="宋体"/>
          <w:sz w:val="24"/>
          <w:szCs w:val="24"/>
        </w:rPr>
        <w:t>（2）开展了人工影响天气作业效果评估工作，及时发布人工增雨（雪）作业信息，帮助农牧林业生产单位做好防灾减灾工作，保障生产安全。</w:t>
      </w:r>
    </w:p>
    <w:p>
      <w:pPr>
        <w:spacing w:line="500" w:lineRule="exact"/>
        <w:ind w:firstLine="480" w:firstLineChars="200"/>
        <w:rPr>
          <w:rFonts w:ascii="宋体" w:hAnsi="宋体" w:cs="宋体"/>
          <w:sz w:val="24"/>
          <w:szCs w:val="24"/>
        </w:rPr>
      </w:pPr>
      <w:r>
        <w:rPr>
          <w:rFonts w:hint="eastAsia" w:ascii="宋体" w:hAnsi="宋体" w:cs="宋体"/>
          <w:sz w:val="24"/>
          <w:szCs w:val="24"/>
        </w:rPr>
        <w:t>（3）整合人工增雨（雪）地面催化剂发生器设备检查资料，做好检查资料统计数据，分析对农牧林业生产的影响，为决策门提供科学建议和决策支持，优化产业结构。</w:t>
      </w:r>
    </w:p>
    <w:p>
      <w:pPr>
        <w:spacing w:line="500" w:lineRule="exact"/>
        <w:ind w:firstLine="560" w:firstLineChars="200"/>
        <w:rPr>
          <w:rFonts w:ascii="黑体" w:eastAsia="黑体"/>
          <w:sz w:val="28"/>
          <w:szCs w:val="28"/>
        </w:rPr>
      </w:pPr>
      <w:r>
        <w:rPr>
          <w:rFonts w:hint="eastAsia" w:ascii="黑体" w:eastAsia="黑体"/>
          <w:sz w:val="28"/>
          <w:szCs w:val="28"/>
        </w:rPr>
        <w:t>（二）预期效益</w:t>
      </w:r>
    </w:p>
    <w:p>
      <w:pPr>
        <w:spacing w:line="500" w:lineRule="exact"/>
        <w:ind w:firstLine="480" w:firstLineChars="200"/>
        <w:rPr>
          <w:rFonts w:ascii="宋体" w:hAnsi="宋体" w:cs="宋体"/>
          <w:sz w:val="24"/>
          <w:szCs w:val="24"/>
        </w:rPr>
      </w:pPr>
      <w:r>
        <w:rPr>
          <w:rFonts w:hint="eastAsia" w:ascii="宋体" w:hAnsi="宋体" w:cs="宋体"/>
          <w:sz w:val="24"/>
          <w:szCs w:val="24"/>
        </w:rPr>
        <w:t>1、经济效益</w:t>
      </w:r>
    </w:p>
    <w:p>
      <w:pPr>
        <w:spacing w:line="500" w:lineRule="exact"/>
        <w:ind w:firstLine="480" w:firstLineChars="200"/>
        <w:rPr>
          <w:rFonts w:ascii="宋体" w:hAnsi="宋体" w:cs="宋体"/>
          <w:sz w:val="24"/>
          <w:szCs w:val="24"/>
        </w:rPr>
      </w:pPr>
      <w:r>
        <w:rPr>
          <w:rFonts w:hint="eastAsia" w:ascii="宋体" w:hAnsi="宋体" w:cs="宋体"/>
          <w:sz w:val="24"/>
          <w:szCs w:val="24"/>
        </w:rPr>
        <w:t>本文件为农牧林业生产提供了技术支撑和服务保障，从而帮助决策者更合理制定人工影响天气业务发展计划，合理安排人工影响天气作业时间，从而提高人工影响天气为农牧林业生产发展、森林草原防火、生态环境建设及重大社会活动的</w:t>
      </w:r>
      <w:r>
        <w:rPr>
          <w:rFonts w:hint="eastAsia" w:ascii="宋体" w:hAnsi="宋体" w:cs="宋体"/>
          <w:sz w:val="24"/>
          <w:szCs w:val="24"/>
          <w:lang w:eastAsia="zh-CN"/>
        </w:rPr>
        <w:t>服务的</w:t>
      </w:r>
      <w:r>
        <w:rPr>
          <w:rFonts w:hint="eastAsia" w:ascii="宋体" w:hAnsi="宋体" w:cs="宋体"/>
          <w:sz w:val="24"/>
          <w:szCs w:val="24"/>
        </w:rPr>
        <w:t>经济效益。</w:t>
      </w:r>
    </w:p>
    <w:p>
      <w:pPr>
        <w:spacing w:line="500" w:lineRule="exact"/>
        <w:ind w:firstLine="480" w:firstLineChars="200"/>
        <w:rPr>
          <w:rFonts w:ascii="宋体" w:hAnsi="宋体" w:cs="宋体"/>
          <w:sz w:val="24"/>
          <w:szCs w:val="24"/>
        </w:rPr>
      </w:pPr>
      <w:r>
        <w:rPr>
          <w:rFonts w:hint="eastAsia" w:ascii="宋体" w:hAnsi="宋体" w:cs="宋体"/>
          <w:sz w:val="24"/>
          <w:szCs w:val="24"/>
        </w:rPr>
        <w:t>2、社会效益</w:t>
      </w:r>
    </w:p>
    <w:p>
      <w:pPr>
        <w:spacing w:line="500" w:lineRule="exact"/>
        <w:ind w:firstLine="480" w:firstLineChars="200"/>
        <w:rPr>
          <w:rFonts w:ascii="宋体" w:hAnsi="宋体" w:cs="宋体"/>
          <w:sz w:val="24"/>
          <w:szCs w:val="24"/>
        </w:rPr>
      </w:pPr>
      <w:r>
        <w:rPr>
          <w:rFonts w:hint="eastAsia" w:ascii="宋体" w:hAnsi="宋体" w:cs="宋体"/>
          <w:sz w:val="24"/>
          <w:szCs w:val="24"/>
        </w:rPr>
        <w:t>本文件为呼和浩特市农牧林业生产发展、森林草原防火、生态环境建设及内蒙古自治区级华北地区重大社会活动人工影响天气保障服务提供技术支撑，因此掌握该设备现场检查操作规程，具有积极的社会效益。</w:t>
      </w:r>
    </w:p>
    <w:p>
      <w:pPr>
        <w:spacing w:line="500" w:lineRule="exact"/>
        <w:ind w:firstLine="480" w:firstLineChars="200"/>
        <w:rPr>
          <w:rFonts w:ascii="宋体" w:hAnsi="宋体" w:cs="宋体"/>
          <w:sz w:val="24"/>
          <w:szCs w:val="24"/>
        </w:rPr>
      </w:pPr>
      <w:r>
        <w:rPr>
          <w:rFonts w:hint="eastAsia" w:ascii="宋体" w:hAnsi="宋体" w:cs="宋体"/>
          <w:sz w:val="24"/>
          <w:szCs w:val="24"/>
        </w:rPr>
        <w:t>3、生态效益</w:t>
      </w:r>
    </w:p>
    <w:p>
      <w:pPr>
        <w:spacing w:line="500" w:lineRule="exact"/>
        <w:ind w:firstLine="480" w:firstLineChars="200"/>
        <w:rPr>
          <w:rFonts w:ascii="宋体" w:hAnsi="宋体" w:cs="宋体"/>
          <w:sz w:val="24"/>
          <w:szCs w:val="24"/>
        </w:rPr>
      </w:pPr>
      <w:r>
        <w:rPr>
          <w:rFonts w:hint="eastAsia" w:ascii="宋体" w:hAnsi="宋体" w:cs="宋体"/>
          <w:sz w:val="24"/>
          <w:szCs w:val="24"/>
        </w:rPr>
        <w:t>文件的实施可以准确、及时检查设备状况，为</w:t>
      </w:r>
      <w:r>
        <w:rPr>
          <w:rFonts w:hint="eastAsia" w:ascii="宋体" w:hAnsi="宋体" w:cs="宋体"/>
          <w:color w:val="000000" w:themeColor="text1"/>
          <w:sz w:val="24"/>
          <w:szCs w:val="24"/>
          <w14:textFill>
            <w14:solidFill>
              <w14:schemeClr w14:val="tx1"/>
            </w14:solidFill>
          </w14:textFill>
        </w:rPr>
        <w:t>农牧林业生产服务、生态保护与修复、水源涵养、水土保持、植被恢复、生物多样性保护、水库增蓄水、森林草原火灾火险、异常高温干旱等事件等气象防灾减灾</w:t>
      </w:r>
      <w:r>
        <w:rPr>
          <w:rFonts w:hint="eastAsia" w:ascii="宋体" w:hAnsi="宋体" w:cs="宋体"/>
          <w:sz w:val="24"/>
          <w:szCs w:val="24"/>
        </w:rPr>
        <w:t>保障服务工作提供重要的技术支支撑和强有力保障。按照本文件科学合理的进行人工影响天气增雨（雪）地面发生器现场检查操作，可以保障设备稳定运行</w:t>
      </w:r>
      <w:r>
        <w:rPr>
          <w:rFonts w:hint="eastAsia" w:ascii="宋体" w:hAnsi="宋体" w:cs="宋体"/>
          <w:sz w:val="24"/>
          <w:szCs w:val="24"/>
          <w:lang w:eastAsia="zh-CN"/>
        </w:rPr>
        <w:t>，</w:t>
      </w:r>
      <w:r>
        <w:rPr>
          <w:rFonts w:hint="eastAsia" w:ascii="宋体" w:hAnsi="宋体" w:cs="宋体"/>
          <w:sz w:val="24"/>
          <w:szCs w:val="24"/>
        </w:rPr>
        <w:t>提高设备运行的安全性，及时进行人工增雨（雪）作业，为避免干旱灾害对生态环境的破坏做出更大贡献，具有良好的生态效益。</w:t>
      </w:r>
    </w:p>
    <w:p>
      <w:pPr>
        <w:spacing w:line="500" w:lineRule="exact"/>
        <w:ind w:firstLine="480" w:firstLineChars="200"/>
        <w:rPr>
          <w:rFonts w:ascii="宋体" w:hAnsi="宋体" w:cs="宋体"/>
          <w:sz w:val="24"/>
          <w:szCs w:val="24"/>
        </w:rPr>
      </w:pPr>
      <w:r>
        <w:rPr>
          <w:rFonts w:hint="eastAsia" w:ascii="宋体" w:hAnsi="宋体" w:cs="宋体"/>
          <w:sz w:val="24"/>
          <w:szCs w:val="24"/>
        </w:rPr>
        <w:t>文件的实施有助于趋利避害，保护生态平衡，维持生态系统的稳定性。</w:t>
      </w:r>
    </w:p>
    <w:p>
      <w:pPr>
        <w:spacing w:line="500" w:lineRule="exact"/>
        <w:ind w:firstLine="560" w:firstLineChars="200"/>
        <w:rPr>
          <w:rFonts w:ascii="黑体" w:eastAsia="黑体"/>
          <w:sz w:val="28"/>
          <w:szCs w:val="28"/>
        </w:rPr>
      </w:pPr>
      <w:r>
        <w:rPr>
          <w:rFonts w:hint="eastAsia" w:ascii="黑体" w:eastAsia="黑体"/>
          <w:sz w:val="28"/>
          <w:szCs w:val="28"/>
        </w:rPr>
        <w:t>九、其他应说明的事项</w:t>
      </w:r>
    </w:p>
    <w:p>
      <w:pPr>
        <w:pStyle w:val="11"/>
        <w:snapToGrid w:val="0"/>
        <w:spacing w:line="500" w:lineRule="exact"/>
        <w:ind w:firstLine="480"/>
        <w:rPr>
          <w:rFonts w:hAnsi="宋体" w:cs="宋体"/>
          <w:sz w:val="24"/>
          <w:szCs w:val="24"/>
        </w:rPr>
      </w:pPr>
      <w:r>
        <w:rPr>
          <w:rFonts w:hint="eastAsia" w:hAnsi="宋体" w:cs="宋体"/>
          <w:color w:val="000000" w:themeColor="text1"/>
          <w:kern w:val="2"/>
          <w:sz w:val="24"/>
          <w:szCs w:val="24"/>
          <w14:textFill>
            <w14:solidFill>
              <w14:schemeClr w14:val="tx1"/>
            </w14:solidFill>
          </w14:textFill>
        </w:rPr>
        <w:t>编写小组人员多年从事人工影响天气业务及科研工作，或从事人工影响天气管理、设备研发、维修保障服务工作，充分了解</w:t>
      </w:r>
      <w:r>
        <w:rPr>
          <w:rFonts w:hint="eastAsia" w:hAnsi="宋体" w:cs="宋体"/>
          <w:color w:val="000000"/>
          <w:sz w:val="24"/>
          <w:szCs w:val="24"/>
        </w:rPr>
        <w:t>人工增雨(雪)地面催化剂发生器现场检查操作</w:t>
      </w:r>
      <w:r>
        <w:rPr>
          <w:rFonts w:hint="eastAsia" w:hAnsi="宋体" w:cs="宋体"/>
          <w:color w:val="000000" w:themeColor="text1"/>
          <w:kern w:val="2"/>
          <w:sz w:val="24"/>
          <w:szCs w:val="24"/>
          <w14:textFill>
            <w14:solidFill>
              <w14:schemeClr w14:val="tx1"/>
            </w14:solidFill>
          </w14:textFill>
        </w:rPr>
        <w:t>现状。虽然在规范的起草过程中做了大量的调研工作，尽可能地使规范的设计科学合理，但由于编写组大部分为使用设备人员，少数为设备研发维修保障人员，熟悉设备检查规程的程度不同，可能有考虑欠妥之处，为使本文件更科学合理，应广泛征求各方意见。</w:t>
      </w:r>
      <w:bookmarkStart w:id="4" w:name="_Toc1120"/>
      <w:r>
        <w:rPr>
          <w:rFonts w:hint="eastAsia" w:hAnsi="宋体" w:cs="宋体"/>
          <w:color w:val="000000" w:themeColor="text1"/>
          <w:kern w:val="2"/>
          <w:sz w:val="24"/>
          <w:szCs w:val="24"/>
          <w14:textFill>
            <w14:solidFill>
              <w14:schemeClr w14:val="tx1"/>
            </w14:solidFill>
          </w14:textFill>
        </w:rPr>
        <w:t>目前</w:t>
      </w:r>
      <w:r>
        <w:rPr>
          <w:rFonts w:hint="eastAsia" w:hAnsi="宋体" w:cs="宋体"/>
          <w:sz w:val="24"/>
          <w:szCs w:val="24"/>
        </w:rPr>
        <w:t>标准征求意见情况</w:t>
      </w:r>
      <w:bookmarkEnd w:id="4"/>
      <w:r>
        <w:rPr>
          <w:rFonts w:hint="eastAsia" w:hAnsi="宋体" w:cs="宋体"/>
          <w:sz w:val="24"/>
          <w:szCs w:val="24"/>
        </w:rPr>
        <w:t>如下：</w:t>
      </w:r>
    </w:p>
    <w:p>
      <w:pPr>
        <w:spacing w:line="500" w:lineRule="exact"/>
        <w:ind w:firstLine="480" w:firstLineChars="200"/>
        <w:rPr>
          <w:rFonts w:ascii="宋体" w:hAnsi="宋体" w:cs="宋体"/>
          <w:sz w:val="24"/>
          <w:szCs w:val="24"/>
        </w:rPr>
      </w:pPr>
      <w:r>
        <w:rPr>
          <w:rFonts w:hint="eastAsia" w:ascii="宋体" w:hAnsi="宋体" w:cs="宋体"/>
          <w:sz w:val="24"/>
          <w:szCs w:val="24"/>
        </w:rPr>
        <w:t>已征求内蒙古自治区市场监督管理局、内蒙古自治区气象局人工影响天气中心、内蒙古自治区气候中心、呼和浩特市气象局、内蒙古北方保安民爆器材有限公司（556厂）专家意见和建议，以及在技术讨论会上各位专家提出的修改意见，都已采纳，详见表2</w:t>
      </w: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rPr>
        <w:t>。</w:t>
      </w:r>
    </w:p>
    <w:p>
      <w:pPr>
        <w:pStyle w:val="15"/>
        <w:snapToGrid w:val="0"/>
        <w:spacing w:before="156" w:beforeLines="50" w:after="156" w:afterLines="50"/>
        <w:jc w:val="center"/>
        <w:rPr>
          <w:rFonts w:hint="eastAsia" w:ascii="黑体" w:hAnsi="黑体" w:eastAsia="黑体"/>
          <w:szCs w:val="24"/>
        </w:rPr>
      </w:pPr>
    </w:p>
    <w:p>
      <w:pPr>
        <w:pStyle w:val="15"/>
        <w:snapToGrid w:val="0"/>
        <w:spacing w:before="156" w:beforeLines="50" w:after="156" w:afterLines="50"/>
        <w:jc w:val="center"/>
        <w:rPr>
          <w:rFonts w:ascii="黑体" w:hAnsi="黑体" w:eastAsia="黑体"/>
          <w:szCs w:val="24"/>
        </w:rPr>
      </w:pPr>
      <w:r>
        <w:rPr>
          <w:rFonts w:hint="eastAsia" w:ascii="黑体" w:hAnsi="黑体" w:eastAsia="黑体"/>
          <w:szCs w:val="24"/>
        </w:rPr>
        <w:t>表2 《人工雨(雪)地面催化剂发生器现场核查操作规程》</w:t>
      </w:r>
    </w:p>
    <w:p>
      <w:pPr>
        <w:pStyle w:val="15"/>
        <w:snapToGrid w:val="0"/>
        <w:spacing w:before="156" w:beforeLines="50" w:after="156" w:afterLines="50"/>
        <w:ind w:firstLine="0" w:firstLineChars="0"/>
        <w:jc w:val="center"/>
        <w:rPr>
          <w:rFonts w:ascii="黑体" w:hAnsi="黑体" w:eastAsia="黑体"/>
          <w:szCs w:val="24"/>
        </w:rPr>
      </w:pPr>
      <w:r>
        <w:rPr>
          <w:rFonts w:hint="eastAsia" w:ascii="黑体" w:hAnsi="黑体" w:eastAsia="黑体"/>
          <w:szCs w:val="24"/>
        </w:rPr>
        <w:t>标准文件</w:t>
      </w:r>
      <w:r>
        <w:rPr>
          <w:rFonts w:hint="eastAsia" w:ascii="黑体" w:hAnsi="黑体" w:eastAsia="黑体"/>
          <w:szCs w:val="24"/>
          <w:lang w:eastAsia="zh-CN"/>
        </w:rPr>
        <w:t>技术讨论会专家</w:t>
      </w:r>
      <w:r>
        <w:rPr>
          <w:rFonts w:hint="eastAsia" w:ascii="黑体" w:hAnsi="黑体" w:eastAsia="黑体"/>
          <w:szCs w:val="24"/>
        </w:rPr>
        <w:t>意见情况汇总表</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424"/>
        <w:gridCol w:w="2993"/>
        <w:gridCol w:w="1666"/>
        <w:gridCol w:w="917"/>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669" w:type="dxa"/>
            <w:tcBorders>
              <w:top w:val="single" w:color="auto" w:sz="8" w:space="0"/>
              <w:left w:val="single" w:color="auto" w:sz="8" w:space="0"/>
              <w:bottom w:val="single" w:color="auto" w:sz="8" w:space="0"/>
              <w:right w:val="single" w:color="auto" w:sz="8" w:space="0"/>
            </w:tcBorders>
            <w:vAlign w:val="center"/>
          </w:tcPr>
          <w:p>
            <w:pPr>
              <w:jc w:val="center"/>
            </w:pPr>
            <w:r>
              <w:rPr>
                <w:rFonts w:hint="eastAsia"/>
              </w:rPr>
              <w:t>序号</w:t>
            </w:r>
          </w:p>
        </w:tc>
        <w:tc>
          <w:tcPr>
            <w:tcW w:w="1424" w:type="dxa"/>
            <w:tcBorders>
              <w:left w:val="single" w:color="auto" w:sz="8" w:space="0"/>
            </w:tcBorders>
            <w:vAlign w:val="center"/>
          </w:tcPr>
          <w:p>
            <w:pPr>
              <w:jc w:val="center"/>
            </w:pPr>
            <w:r>
              <w:rPr>
                <w:rFonts w:hint="eastAsia"/>
              </w:rPr>
              <w:t>标准章条号编号</w:t>
            </w:r>
          </w:p>
        </w:tc>
        <w:tc>
          <w:tcPr>
            <w:tcW w:w="2993" w:type="dxa"/>
            <w:vAlign w:val="center"/>
          </w:tcPr>
          <w:p>
            <w:pPr>
              <w:jc w:val="center"/>
            </w:pPr>
            <w:r>
              <w:rPr>
                <w:rFonts w:hint="eastAsia"/>
              </w:rPr>
              <w:t>需修改意见</w:t>
            </w:r>
          </w:p>
        </w:tc>
        <w:tc>
          <w:tcPr>
            <w:tcW w:w="1666" w:type="dxa"/>
            <w:vAlign w:val="center"/>
          </w:tcPr>
          <w:p>
            <w:pPr>
              <w:jc w:val="center"/>
            </w:pPr>
            <w:r>
              <w:rPr>
                <w:rFonts w:hint="eastAsia"/>
              </w:rPr>
              <w:t>提出人及单位</w:t>
            </w:r>
          </w:p>
        </w:tc>
        <w:tc>
          <w:tcPr>
            <w:tcW w:w="917" w:type="dxa"/>
            <w:vAlign w:val="center"/>
          </w:tcPr>
          <w:p>
            <w:pPr>
              <w:jc w:val="center"/>
            </w:pPr>
            <w:r>
              <w:rPr>
                <w:rFonts w:hint="eastAsia"/>
              </w:rPr>
              <w:t>是否</w:t>
            </w:r>
          </w:p>
          <w:p>
            <w:pPr>
              <w:jc w:val="center"/>
            </w:pPr>
            <w:r>
              <w:rPr>
                <w:rFonts w:hint="eastAsia"/>
              </w:rPr>
              <w:t>采纳</w:t>
            </w:r>
          </w:p>
        </w:tc>
        <w:tc>
          <w:tcPr>
            <w:tcW w:w="853"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pPr>
            <w:r>
              <w:rPr>
                <w:rFonts w:hint="eastAsia"/>
              </w:rPr>
              <w:t>1</w:t>
            </w:r>
          </w:p>
        </w:tc>
        <w:tc>
          <w:tcPr>
            <w:tcW w:w="1424" w:type="dxa"/>
            <w:vAlign w:val="center"/>
          </w:tcPr>
          <w:p>
            <w:pPr>
              <w:jc w:val="left"/>
            </w:pPr>
            <w:r>
              <w:rPr>
                <w:rFonts w:hint="eastAsia"/>
              </w:rPr>
              <w:t>编制说明</w:t>
            </w:r>
          </w:p>
        </w:tc>
        <w:tc>
          <w:tcPr>
            <w:tcW w:w="2993" w:type="dxa"/>
            <w:vAlign w:val="center"/>
          </w:tcPr>
          <w:p>
            <w:pPr>
              <w:jc w:val="left"/>
            </w:pPr>
            <w:r>
              <w:rPr>
                <w:rFonts w:hint="eastAsia"/>
              </w:rPr>
              <w:t>增加人员分工。</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pPr>
            <w:r>
              <w:rPr>
                <w:rFonts w:hint="eastAsia"/>
              </w:rPr>
              <w:t>2</w:t>
            </w:r>
          </w:p>
        </w:tc>
        <w:tc>
          <w:tcPr>
            <w:tcW w:w="1424" w:type="dxa"/>
            <w:vAlign w:val="center"/>
          </w:tcPr>
          <w:p>
            <w:pPr>
              <w:jc w:val="left"/>
            </w:pPr>
            <w:r>
              <w:rPr>
                <w:rFonts w:hint="eastAsia"/>
              </w:rPr>
              <w:t>前言</w:t>
            </w:r>
          </w:p>
        </w:tc>
        <w:tc>
          <w:tcPr>
            <w:tcW w:w="2993" w:type="dxa"/>
            <w:vAlign w:val="center"/>
          </w:tcPr>
          <w:p>
            <w:pPr>
              <w:pStyle w:val="13"/>
              <w:ind w:firstLine="0" w:firstLineChars="0"/>
              <w:jc w:val="left"/>
            </w:pPr>
            <w:r>
              <w:rPr>
                <w:rFonts w:hint="eastAsia"/>
              </w:rPr>
              <w:t>本文件由呼和浩特市气象局提出，本文件由呼和浩特市气象局归口，本文件由呼和浩特市气象局提出并归口。</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pPr>
            <w:r>
              <w:rPr>
                <w:rFonts w:hint="eastAsia"/>
              </w:rPr>
              <w:t>3</w:t>
            </w:r>
          </w:p>
        </w:tc>
        <w:tc>
          <w:tcPr>
            <w:tcW w:w="1424" w:type="dxa"/>
            <w:vAlign w:val="center"/>
          </w:tcPr>
          <w:p>
            <w:pPr>
              <w:jc w:val="left"/>
            </w:pPr>
            <w:r>
              <w:rPr>
                <w:rFonts w:hint="eastAsia"/>
              </w:rPr>
              <w:t>1范围</w:t>
            </w:r>
          </w:p>
        </w:tc>
        <w:tc>
          <w:tcPr>
            <w:tcW w:w="2993" w:type="dxa"/>
            <w:vAlign w:val="center"/>
          </w:tcPr>
          <w:p>
            <w:pPr>
              <w:jc w:val="left"/>
            </w:pPr>
            <w:r>
              <w:rPr>
                <w:rFonts w:hint="eastAsia"/>
              </w:rPr>
              <w:t>标题需写全。</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pPr>
            <w:r>
              <w:rPr>
                <w:rFonts w:hint="eastAsia"/>
              </w:rPr>
              <w:t>4</w:t>
            </w:r>
          </w:p>
        </w:tc>
        <w:tc>
          <w:tcPr>
            <w:tcW w:w="1424" w:type="dxa"/>
            <w:vAlign w:val="center"/>
          </w:tcPr>
          <w:p>
            <w:pPr>
              <w:jc w:val="left"/>
            </w:pPr>
            <w:r>
              <w:rPr>
                <w:rFonts w:hint="eastAsia"/>
              </w:rPr>
              <w:t>2引用性规范文件</w:t>
            </w:r>
          </w:p>
        </w:tc>
        <w:tc>
          <w:tcPr>
            <w:tcW w:w="2993" w:type="dxa"/>
            <w:vAlign w:val="center"/>
          </w:tcPr>
          <w:p>
            <w:pPr>
              <w:jc w:val="left"/>
            </w:pPr>
            <w:r>
              <w:rPr>
                <w:rFonts w:hint="eastAsia"/>
              </w:rPr>
              <w:t>GB/TB  170删除，人工影响天气作业术语、QX/T658-2023可不列或列全，列上的正文需引用。</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pPr>
            <w:r>
              <w:rPr>
                <w:rFonts w:hint="eastAsia"/>
              </w:rPr>
              <w:t>5</w:t>
            </w:r>
          </w:p>
        </w:tc>
        <w:tc>
          <w:tcPr>
            <w:tcW w:w="1424" w:type="dxa"/>
            <w:vAlign w:val="center"/>
          </w:tcPr>
          <w:p>
            <w:pPr>
              <w:jc w:val="left"/>
            </w:pPr>
            <w:r>
              <w:rPr>
                <w:rFonts w:hint="eastAsia"/>
              </w:rPr>
              <w:t>标题</w:t>
            </w:r>
          </w:p>
        </w:tc>
        <w:tc>
          <w:tcPr>
            <w:tcW w:w="2993" w:type="dxa"/>
            <w:vAlign w:val="center"/>
          </w:tcPr>
          <w:p>
            <w:pPr>
              <w:jc w:val="left"/>
            </w:pPr>
            <w:r>
              <w:rPr>
                <w:rFonts w:hint="eastAsia"/>
              </w:rPr>
              <w:t>修改为《人工雨(雪)地面催化剂发生器现场检查操作规程》。</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pPr>
            <w:r>
              <w:rPr>
                <w:rFonts w:hint="eastAsia"/>
              </w:rPr>
              <w:t>6</w:t>
            </w:r>
          </w:p>
        </w:tc>
        <w:tc>
          <w:tcPr>
            <w:tcW w:w="1424" w:type="dxa"/>
            <w:vAlign w:val="center"/>
          </w:tcPr>
          <w:p>
            <w:pPr>
              <w:jc w:val="left"/>
            </w:pPr>
            <w:r>
              <w:rPr>
                <w:rFonts w:hint="eastAsia"/>
              </w:rPr>
              <w:t>4.2.1</w:t>
            </w:r>
          </w:p>
        </w:tc>
        <w:tc>
          <w:tcPr>
            <w:tcW w:w="2993" w:type="dxa"/>
            <w:vAlign w:val="center"/>
          </w:tcPr>
          <w:p>
            <w:pPr>
              <w:jc w:val="left"/>
            </w:pPr>
            <w:r>
              <w:rPr>
                <w:rFonts w:hint="eastAsia"/>
              </w:rPr>
              <w:t>具体引用地标才加年号和名称，可省略年号和名称。</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7</w:t>
            </w:r>
          </w:p>
        </w:tc>
        <w:tc>
          <w:tcPr>
            <w:tcW w:w="1424" w:type="dxa"/>
            <w:vAlign w:val="center"/>
          </w:tcPr>
          <w:p>
            <w:r>
              <w:rPr>
                <w:rFonts w:hint="eastAsia"/>
              </w:rPr>
              <w:t>4.3 太阳能供电系统</w:t>
            </w:r>
          </w:p>
        </w:tc>
        <w:tc>
          <w:tcPr>
            <w:tcW w:w="2993" w:type="dxa"/>
            <w:vAlign w:val="center"/>
          </w:tcPr>
          <w:p>
            <w:pPr>
              <w:jc w:val="left"/>
            </w:pPr>
            <w:r>
              <w:t>11.5VDC</w:t>
            </w:r>
            <w:r>
              <w:rPr>
                <w:rFonts w:hint="eastAsia"/>
              </w:rPr>
              <w:t>修改为直流电11.5V。</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8</w:t>
            </w:r>
          </w:p>
        </w:tc>
        <w:tc>
          <w:tcPr>
            <w:tcW w:w="1424" w:type="dxa"/>
            <w:vAlign w:val="center"/>
          </w:tcPr>
          <w:p>
            <w:r>
              <w:rPr>
                <w:rFonts w:hint="eastAsia"/>
              </w:rPr>
              <w:t>4.5 点火控制系统</w:t>
            </w:r>
          </w:p>
        </w:tc>
        <w:tc>
          <w:tcPr>
            <w:tcW w:w="2993" w:type="dxa"/>
            <w:vAlign w:val="center"/>
          </w:tcPr>
          <w:p>
            <w:pPr>
              <w:jc w:val="left"/>
            </w:pPr>
            <w:r>
              <w:rPr>
                <w:rFonts w:hint="eastAsia"/>
              </w:rPr>
              <w:t>“应”修改为“必须”。</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9</w:t>
            </w:r>
          </w:p>
        </w:tc>
        <w:tc>
          <w:tcPr>
            <w:tcW w:w="1424" w:type="dxa"/>
            <w:vAlign w:val="center"/>
          </w:tcPr>
          <w:p>
            <w:r>
              <w:rPr>
                <w:rFonts w:hint="eastAsia"/>
              </w:rPr>
              <w:t>4.6.5</w:t>
            </w:r>
          </w:p>
        </w:tc>
        <w:tc>
          <w:tcPr>
            <w:tcW w:w="2993" w:type="dxa"/>
            <w:vAlign w:val="center"/>
          </w:tcPr>
          <w:p>
            <w:pPr>
              <w:jc w:val="left"/>
            </w:pPr>
            <w:r>
              <w:rPr>
                <w:rFonts w:hint="eastAsia"/>
              </w:rPr>
              <w:t>将文件中“参照”修改为“按照”或“符合”。</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10</w:t>
            </w:r>
          </w:p>
        </w:tc>
        <w:tc>
          <w:tcPr>
            <w:tcW w:w="1424" w:type="dxa"/>
            <w:vAlign w:val="center"/>
          </w:tcPr>
          <w:p>
            <w:r>
              <w:rPr>
                <w:rFonts w:hint="eastAsia"/>
              </w:rPr>
              <w:t>附录A</w:t>
            </w:r>
          </w:p>
        </w:tc>
        <w:tc>
          <w:tcPr>
            <w:tcW w:w="2993" w:type="dxa"/>
            <w:vAlign w:val="center"/>
          </w:tcPr>
          <w:p>
            <w:pPr>
              <w:jc w:val="left"/>
            </w:pPr>
            <w:r>
              <w:rPr>
                <w:rFonts w:hint="eastAsia"/>
              </w:rPr>
              <w:t>转页接排的格式需注意。</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11</w:t>
            </w:r>
          </w:p>
        </w:tc>
        <w:tc>
          <w:tcPr>
            <w:tcW w:w="1424" w:type="dxa"/>
            <w:vAlign w:val="center"/>
          </w:tcPr>
          <w:p>
            <w:r>
              <w:rPr>
                <w:rFonts w:hint="eastAsia"/>
              </w:rPr>
              <w:t>参考文献</w:t>
            </w:r>
          </w:p>
        </w:tc>
        <w:tc>
          <w:tcPr>
            <w:tcW w:w="2993" w:type="dxa"/>
            <w:vAlign w:val="center"/>
          </w:tcPr>
          <w:p>
            <w:pPr>
              <w:jc w:val="left"/>
            </w:pPr>
            <w:r>
              <w:rPr>
                <w:rFonts w:hint="eastAsia"/>
              </w:rPr>
              <w:t>参考文献</w:t>
            </w:r>
            <w:r>
              <w:t>[</w:t>
            </w:r>
            <w:r>
              <w:rPr>
                <w:rFonts w:hint="eastAsia"/>
              </w:rPr>
              <w:t>2</w:t>
            </w:r>
            <w:r>
              <w:t>]</w:t>
            </w:r>
            <w:r>
              <w:rPr>
                <w:rFonts w:hint="eastAsia"/>
              </w:rPr>
              <w:t>、</w:t>
            </w:r>
            <w:r>
              <w:t xml:space="preserve"> [</w:t>
            </w:r>
            <w:r>
              <w:rPr>
                <w:rFonts w:hint="eastAsia"/>
              </w:rPr>
              <w:t>3</w:t>
            </w:r>
            <w:r>
              <w:t xml:space="preserve">] </w:t>
            </w:r>
            <w:r>
              <w:rPr>
                <w:rFonts w:hint="eastAsia"/>
              </w:rPr>
              <w:t>需取掉。</w:t>
            </w:r>
          </w:p>
        </w:tc>
        <w:tc>
          <w:tcPr>
            <w:tcW w:w="1666" w:type="dxa"/>
            <w:vAlign w:val="center"/>
          </w:tcPr>
          <w:p>
            <w:pPr>
              <w:jc w:val="center"/>
            </w:pPr>
            <w:r>
              <w:rPr>
                <w:rFonts w:hint="eastAsia"/>
              </w:rPr>
              <w:t>内蒙古自治区技术和标准化研究院姚继红</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12</w:t>
            </w:r>
          </w:p>
        </w:tc>
        <w:tc>
          <w:tcPr>
            <w:tcW w:w="1424" w:type="dxa"/>
            <w:vAlign w:val="center"/>
          </w:tcPr>
          <w:p>
            <w:r>
              <w:rPr>
                <w:rFonts w:hint="eastAsia"/>
              </w:rPr>
              <w:t>标题</w:t>
            </w:r>
          </w:p>
        </w:tc>
        <w:tc>
          <w:tcPr>
            <w:tcW w:w="2993" w:type="dxa"/>
            <w:vAlign w:val="center"/>
          </w:tcPr>
          <w:p>
            <w:pPr>
              <w:jc w:val="left"/>
            </w:pPr>
            <w:r>
              <w:rPr>
                <w:rFonts w:hint="eastAsia"/>
              </w:rPr>
              <w:t>将标题中“核查”修改为“检查”。</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13</w:t>
            </w:r>
          </w:p>
        </w:tc>
        <w:tc>
          <w:tcPr>
            <w:tcW w:w="1424" w:type="dxa"/>
            <w:vAlign w:val="center"/>
          </w:tcPr>
          <w:p>
            <w:r>
              <w:rPr>
                <w:rFonts w:hint="eastAsia"/>
                <w:lang w:val="en-US" w:eastAsia="zh-CN"/>
              </w:rPr>
              <w:t>3</w:t>
            </w:r>
            <w:r>
              <w:rPr>
                <w:rFonts w:hint="eastAsia"/>
              </w:rPr>
              <w:t xml:space="preserve"> 术语和定义</w:t>
            </w:r>
          </w:p>
        </w:tc>
        <w:tc>
          <w:tcPr>
            <w:tcW w:w="2993" w:type="dxa"/>
            <w:vAlign w:val="center"/>
          </w:tcPr>
          <w:p>
            <w:pPr>
              <w:jc w:val="left"/>
            </w:pPr>
            <w:r>
              <w:rPr>
                <w:rFonts w:hint="eastAsia"/>
              </w:rPr>
              <w:t>增加制冷催化剂、吸湿性催化剂。</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14</w:t>
            </w:r>
          </w:p>
        </w:tc>
        <w:tc>
          <w:tcPr>
            <w:tcW w:w="1424" w:type="dxa"/>
            <w:vAlign w:val="center"/>
          </w:tcPr>
          <w:p>
            <w:r>
              <w:rPr>
                <w:rFonts w:hint="eastAsia"/>
                <w:lang w:val="en-US" w:eastAsia="zh-CN"/>
              </w:rPr>
              <w:t>3</w:t>
            </w:r>
            <w:r>
              <w:rPr>
                <w:rFonts w:hint="eastAsia"/>
              </w:rPr>
              <w:t xml:space="preserve"> 术语和定义</w:t>
            </w:r>
          </w:p>
        </w:tc>
        <w:tc>
          <w:tcPr>
            <w:tcW w:w="2993" w:type="dxa"/>
            <w:vAlign w:val="center"/>
          </w:tcPr>
          <w:p>
            <w:pPr>
              <w:pStyle w:val="13"/>
              <w:ind w:firstLine="0" w:firstLineChars="0"/>
              <w:jc w:val="left"/>
            </w:pPr>
            <w:r>
              <w:rPr>
                <w:rFonts w:hint="eastAsia"/>
              </w:rPr>
              <w:t>3.12 具备从事开展人工影响天气条件的单位或组织。修改为具备从事开展人工影响天气资质的单位或组织。</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15</w:t>
            </w:r>
          </w:p>
        </w:tc>
        <w:tc>
          <w:tcPr>
            <w:tcW w:w="1424" w:type="dxa"/>
            <w:vAlign w:val="center"/>
          </w:tcPr>
          <w:p>
            <w:r>
              <w:rPr>
                <w:rFonts w:hint="eastAsia"/>
              </w:rPr>
              <w:t>4 检查内容、要求、方法</w:t>
            </w:r>
          </w:p>
        </w:tc>
        <w:tc>
          <w:tcPr>
            <w:tcW w:w="2993" w:type="dxa"/>
            <w:vAlign w:val="center"/>
          </w:tcPr>
          <w:p>
            <w:pPr>
              <w:jc w:val="left"/>
            </w:pPr>
            <w:r>
              <w:rPr>
                <w:rFonts w:hint="eastAsia"/>
              </w:rPr>
              <w:t>将“4 检查内容、要求、方法”，去掉“要求” 。</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16</w:t>
            </w:r>
          </w:p>
        </w:tc>
        <w:tc>
          <w:tcPr>
            <w:tcW w:w="1424" w:type="dxa"/>
            <w:vAlign w:val="center"/>
          </w:tcPr>
          <w:p>
            <w:r>
              <w:rPr>
                <w:rFonts w:hint="eastAsia"/>
              </w:rPr>
              <w:t>4 检查内容、要求、方法</w:t>
            </w:r>
          </w:p>
        </w:tc>
        <w:tc>
          <w:tcPr>
            <w:tcW w:w="2993" w:type="dxa"/>
            <w:vAlign w:val="center"/>
          </w:tcPr>
          <w:p>
            <w:pPr>
              <w:jc w:val="left"/>
            </w:pPr>
            <w:r>
              <w:rPr>
                <w:rFonts w:hint="eastAsia"/>
              </w:rPr>
              <w:t>将4章 分成4、5两章：4  检查内容，5  处置方法。</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17</w:t>
            </w:r>
          </w:p>
        </w:tc>
        <w:tc>
          <w:tcPr>
            <w:tcW w:w="1424" w:type="dxa"/>
            <w:vAlign w:val="center"/>
          </w:tcPr>
          <w:p>
            <w:r>
              <w:rPr>
                <w:rFonts w:hint="eastAsia"/>
              </w:rPr>
              <w:t>4.1 播云催化剂</w:t>
            </w:r>
          </w:p>
        </w:tc>
        <w:tc>
          <w:tcPr>
            <w:tcW w:w="2993" w:type="dxa"/>
            <w:vAlign w:val="center"/>
          </w:tcPr>
          <w:p>
            <w:pPr>
              <w:jc w:val="left"/>
            </w:pPr>
            <w:r>
              <w:rPr>
                <w:rFonts w:hint="eastAsia"/>
              </w:rPr>
              <w:t>删除4.1  播云催化剂 。</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18</w:t>
            </w:r>
          </w:p>
        </w:tc>
        <w:tc>
          <w:tcPr>
            <w:tcW w:w="1424" w:type="dxa"/>
            <w:vAlign w:val="center"/>
          </w:tcPr>
          <w:p>
            <w:r>
              <w:rPr>
                <w:rFonts w:hint="eastAsia"/>
              </w:rPr>
              <w:t>4.2 除锈润滑</w:t>
            </w:r>
          </w:p>
        </w:tc>
        <w:tc>
          <w:tcPr>
            <w:tcW w:w="2993" w:type="dxa"/>
            <w:vAlign w:val="center"/>
          </w:tcPr>
          <w:p>
            <w:pPr>
              <w:jc w:val="left"/>
            </w:pPr>
            <w:r>
              <w:rPr>
                <w:rFonts w:hint="eastAsia"/>
              </w:rPr>
              <w:t>将“有无锈蚀情况且是否工作正常”修改为“是否无锈蚀且工作正常”。</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19</w:t>
            </w:r>
          </w:p>
        </w:tc>
        <w:tc>
          <w:tcPr>
            <w:tcW w:w="1424" w:type="dxa"/>
            <w:vAlign w:val="center"/>
          </w:tcPr>
          <w:p>
            <w:r>
              <w:rPr>
                <w:rFonts w:hint="eastAsia"/>
              </w:rPr>
              <w:t>4.4.5-4.4.7</w:t>
            </w:r>
          </w:p>
        </w:tc>
        <w:tc>
          <w:tcPr>
            <w:tcW w:w="2993" w:type="dxa"/>
            <w:vAlign w:val="center"/>
          </w:tcPr>
          <w:p>
            <w:pPr>
              <w:jc w:val="left"/>
            </w:pPr>
            <w:r>
              <w:rPr>
                <w:rFonts w:hint="eastAsia"/>
              </w:rPr>
              <w:t>将4.4.4、4.4.5、4.4.6、4.4.7放到一条里。</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20</w:t>
            </w:r>
          </w:p>
        </w:tc>
        <w:tc>
          <w:tcPr>
            <w:tcW w:w="1424" w:type="dxa"/>
            <w:vAlign w:val="center"/>
          </w:tcPr>
          <w:p>
            <w:r>
              <w:rPr>
                <w:rFonts w:hint="eastAsia"/>
              </w:rPr>
              <w:t>5通报与归档</w:t>
            </w:r>
          </w:p>
          <w:p>
            <w:r>
              <w:rPr>
                <w:rFonts w:hint="eastAsia"/>
              </w:rPr>
              <w:t>6检查报告</w:t>
            </w:r>
          </w:p>
        </w:tc>
        <w:tc>
          <w:tcPr>
            <w:tcW w:w="2993" w:type="dxa"/>
            <w:vAlign w:val="center"/>
          </w:tcPr>
          <w:p>
            <w:pPr>
              <w:jc w:val="left"/>
            </w:pPr>
            <w:r>
              <w:rPr>
                <w:rFonts w:hint="eastAsia"/>
              </w:rPr>
              <w:t>将5通报与归档、6检查报告合并。</w:t>
            </w:r>
          </w:p>
        </w:tc>
        <w:tc>
          <w:tcPr>
            <w:tcW w:w="1666" w:type="dxa"/>
            <w:vAlign w:val="center"/>
          </w:tcPr>
          <w:p>
            <w:pPr>
              <w:jc w:val="center"/>
            </w:pPr>
            <w:r>
              <w:rPr>
                <w:rFonts w:hint="eastAsia"/>
              </w:rPr>
              <w:t>内蒙古自治区人工影响天气中心李汉超</w:t>
            </w:r>
          </w:p>
        </w:tc>
        <w:tc>
          <w:tcPr>
            <w:tcW w:w="917" w:type="dxa"/>
            <w:vAlign w:val="center"/>
          </w:tcPr>
          <w:p>
            <w:pPr>
              <w:jc w:val="cente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pPr>
            <w:r>
              <w:rPr>
                <w:rFonts w:hint="eastAsia"/>
              </w:rPr>
              <w:t>21</w:t>
            </w:r>
          </w:p>
        </w:tc>
        <w:tc>
          <w:tcPr>
            <w:tcW w:w="1424" w:type="dxa"/>
            <w:vAlign w:val="center"/>
          </w:tcPr>
          <w:p>
            <w:pPr>
              <w:rPr>
                <w:rFonts w:ascii="Calibri" w:hAnsi="Calibri" w:eastAsia="宋体" w:cs="Calibri"/>
                <w:kern w:val="2"/>
                <w:sz w:val="21"/>
                <w:szCs w:val="21"/>
                <w:lang w:val="en-US" w:eastAsia="zh-CN" w:bidi="ar-SA"/>
              </w:rPr>
            </w:pPr>
            <w:r>
              <w:rPr>
                <w:rFonts w:hint="eastAsia"/>
              </w:rPr>
              <w:t>6检查报告</w:t>
            </w:r>
          </w:p>
        </w:tc>
        <w:tc>
          <w:tcPr>
            <w:tcW w:w="2993" w:type="dxa"/>
            <w:vAlign w:val="center"/>
          </w:tcPr>
          <w:p>
            <w:pPr>
              <w:jc w:val="left"/>
              <w:rPr>
                <w:rFonts w:hint="eastAsia" w:ascii="Calibri" w:hAnsi="Calibri" w:eastAsia="宋体" w:cs="Calibri"/>
                <w:kern w:val="2"/>
                <w:sz w:val="21"/>
                <w:szCs w:val="21"/>
                <w:lang w:val="en-US" w:eastAsia="zh-CN" w:bidi="ar-SA"/>
              </w:rPr>
            </w:pPr>
            <w:r>
              <w:rPr>
                <w:rFonts w:hint="eastAsia"/>
              </w:rPr>
              <w:t>应在</w:t>
            </w:r>
            <w:r>
              <w:rPr>
                <w:rFonts w:hint="eastAsia"/>
                <w:lang w:val="en-US" w:eastAsia="zh-CN"/>
              </w:rPr>
              <w:t>6</w:t>
            </w:r>
            <w:r>
              <w:rPr>
                <w:rFonts w:hint="eastAsia"/>
              </w:rPr>
              <w:t>检查报告中增加“建议报废”</w:t>
            </w:r>
            <w:r>
              <w:rPr>
                <w:rFonts w:hint="eastAsia"/>
                <w:lang w:eastAsia="zh-CN"/>
              </w:rPr>
              <w:t>。</w:t>
            </w:r>
          </w:p>
        </w:tc>
        <w:tc>
          <w:tcPr>
            <w:tcW w:w="1666" w:type="dxa"/>
            <w:vAlign w:val="center"/>
          </w:tcPr>
          <w:p>
            <w:pPr>
              <w:jc w:val="center"/>
              <w:rPr>
                <w:rFonts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rPr>
                <w:rFonts w:hint="default" w:eastAsia="宋体"/>
                <w:lang w:val="en-US" w:eastAsia="zh-CN"/>
              </w:rPr>
            </w:pPr>
            <w:r>
              <w:rPr>
                <w:rFonts w:hint="eastAsia"/>
                <w:lang w:val="en-US" w:eastAsia="zh-CN"/>
              </w:rPr>
              <w:t>22</w:t>
            </w:r>
          </w:p>
        </w:tc>
        <w:tc>
          <w:tcPr>
            <w:tcW w:w="1424" w:type="dxa"/>
            <w:vAlign w:val="center"/>
          </w:tcPr>
          <w:p>
            <w:pPr>
              <w:rPr>
                <w:rFonts w:hint="default" w:eastAsia="宋体"/>
                <w:lang w:val="en-US" w:eastAsia="zh-CN"/>
              </w:rPr>
            </w:pPr>
            <w:r>
              <w:rPr>
                <w:rFonts w:hint="eastAsia"/>
                <w:lang w:val="en-US" w:eastAsia="zh-CN"/>
              </w:rPr>
              <w:t>6.3</w:t>
            </w:r>
          </w:p>
        </w:tc>
        <w:tc>
          <w:tcPr>
            <w:tcW w:w="2993" w:type="dxa"/>
            <w:vAlign w:val="center"/>
          </w:tcPr>
          <w:p>
            <w:pPr>
              <w:jc w:val="left"/>
              <w:rPr>
                <w:rFonts w:hint="default" w:eastAsia="宋体"/>
                <w:lang w:val="en-US" w:eastAsia="zh-CN"/>
              </w:rPr>
            </w:pPr>
            <w:r>
              <w:rPr>
                <w:rFonts w:hint="eastAsia"/>
                <w:lang w:val="en-US" w:eastAsia="zh-CN"/>
              </w:rPr>
              <w:t>达到规定使用年限也应报废。</w:t>
            </w:r>
          </w:p>
        </w:tc>
        <w:tc>
          <w:tcPr>
            <w:tcW w:w="1666" w:type="dxa"/>
            <w:vAlign w:val="center"/>
          </w:tcPr>
          <w:p>
            <w:pPr>
              <w:jc w:val="center"/>
              <w:rPr>
                <w:rFonts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rPr>
                <w:rFonts w:hint="eastAsia" w:ascii="Calibri" w:hAnsi="Calibri" w:eastAsia="宋体" w:cs="Calibri"/>
                <w:kern w:val="2"/>
                <w:sz w:val="21"/>
                <w:szCs w:val="21"/>
                <w:lang w:val="en-US" w:eastAsia="zh-CN" w:bidi="ar-SA"/>
              </w:rPr>
            </w:pPr>
            <w:r>
              <w:rPr>
                <w:rFonts w:hint="eastAsia"/>
              </w:rPr>
              <w:t>2</w:t>
            </w:r>
            <w:r>
              <w:rPr>
                <w:rFonts w:hint="eastAsia"/>
                <w:lang w:val="en-US" w:eastAsia="zh-CN"/>
              </w:rPr>
              <w:t>3</w:t>
            </w:r>
          </w:p>
        </w:tc>
        <w:tc>
          <w:tcPr>
            <w:tcW w:w="1424" w:type="dxa"/>
            <w:vAlign w:val="center"/>
          </w:tcPr>
          <w:p>
            <w:pPr>
              <w:rPr>
                <w:rFonts w:hint="eastAsia" w:ascii="Calibri" w:hAnsi="Calibri" w:eastAsia="宋体" w:cs="Calibri"/>
                <w:kern w:val="2"/>
                <w:sz w:val="21"/>
                <w:szCs w:val="21"/>
                <w:lang w:val="en-US" w:eastAsia="zh-CN" w:bidi="ar-SA"/>
              </w:rPr>
            </w:pPr>
            <w:r>
              <w:rPr>
                <w:rFonts w:hint="eastAsia"/>
              </w:rPr>
              <w:t>4 检查内容、要求、方法</w:t>
            </w:r>
          </w:p>
        </w:tc>
        <w:tc>
          <w:tcPr>
            <w:tcW w:w="2993" w:type="dxa"/>
            <w:vAlign w:val="center"/>
          </w:tcPr>
          <w:p>
            <w:pPr>
              <w:jc w:val="left"/>
              <w:rPr>
                <w:rFonts w:hint="eastAsia" w:ascii="Calibri" w:hAnsi="Calibri" w:eastAsia="宋体" w:cs="Calibri"/>
                <w:kern w:val="2"/>
                <w:sz w:val="21"/>
                <w:szCs w:val="21"/>
                <w:lang w:val="en-US" w:eastAsia="zh-CN" w:bidi="ar-SA"/>
              </w:rPr>
            </w:pPr>
            <w:r>
              <w:rPr>
                <w:rFonts w:hint="eastAsia"/>
              </w:rPr>
              <w:t xml:space="preserve">将 4检查内容、要求、方法下面的内容分开为2条：4.1检查内容、4.2 </w:t>
            </w:r>
            <w:r>
              <w:rPr>
                <w:rFonts w:hint="eastAsia"/>
                <w:lang w:eastAsia="zh-CN"/>
              </w:rPr>
              <w:t>检查和</w:t>
            </w:r>
            <w:r>
              <w:rPr>
                <w:rFonts w:hint="eastAsia"/>
              </w:rPr>
              <w:t>处置方法 ，使条理更清楚。</w:t>
            </w:r>
          </w:p>
        </w:tc>
        <w:tc>
          <w:tcPr>
            <w:tcW w:w="1666" w:type="dxa"/>
            <w:vAlign w:val="center"/>
          </w:tcPr>
          <w:p>
            <w:pPr>
              <w:jc w:val="left"/>
              <w:rPr>
                <w:rFonts w:hint="eastAsia" w:ascii="Calibri" w:hAnsi="Calibri" w:eastAsia="宋体" w:cs="Calibri"/>
                <w:kern w:val="2"/>
                <w:sz w:val="21"/>
                <w:szCs w:val="21"/>
                <w:lang w:val="en-US" w:eastAsia="zh-CN" w:bidi="ar-SA"/>
              </w:rPr>
            </w:pPr>
            <w:r>
              <w:rPr>
                <w:rFonts w:hint="eastAsia"/>
              </w:rPr>
              <w:t>内蒙古自治区气候中心刘晓东</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rPr>
                <w:rFonts w:hint="eastAsia" w:eastAsia="宋体"/>
                <w:lang w:val="en-US" w:eastAsia="zh-CN"/>
              </w:rPr>
            </w:pPr>
            <w:r>
              <w:rPr>
                <w:rFonts w:hint="eastAsia"/>
              </w:rPr>
              <w:t>2</w:t>
            </w:r>
            <w:r>
              <w:rPr>
                <w:rFonts w:hint="eastAsia"/>
                <w:lang w:val="en-US" w:eastAsia="zh-CN"/>
              </w:rPr>
              <w:t>4</w:t>
            </w:r>
          </w:p>
        </w:tc>
        <w:tc>
          <w:tcPr>
            <w:tcW w:w="1424" w:type="dxa"/>
            <w:vAlign w:val="center"/>
          </w:tcPr>
          <w:p>
            <w:r>
              <w:rPr>
                <w:rFonts w:hint="eastAsia"/>
              </w:rPr>
              <w:t>4 检查内容、要求、方法</w:t>
            </w:r>
          </w:p>
        </w:tc>
        <w:tc>
          <w:tcPr>
            <w:tcW w:w="2993" w:type="dxa"/>
            <w:vAlign w:val="center"/>
          </w:tcPr>
          <w:p>
            <w:pPr>
              <w:jc w:val="left"/>
            </w:pPr>
            <w:r>
              <w:rPr>
                <w:rFonts w:hint="eastAsia"/>
              </w:rPr>
              <w:t>规范中很少出现“等”字，建议去掉。</w:t>
            </w:r>
          </w:p>
        </w:tc>
        <w:tc>
          <w:tcPr>
            <w:tcW w:w="1666" w:type="dxa"/>
            <w:vAlign w:val="center"/>
          </w:tcPr>
          <w:p>
            <w:pPr>
              <w:jc w:val="left"/>
            </w:pPr>
            <w:r>
              <w:rPr>
                <w:rFonts w:hint="eastAsia"/>
              </w:rPr>
              <w:t>内蒙古自治区气候中心刘晓东</w:t>
            </w:r>
          </w:p>
        </w:tc>
        <w:tc>
          <w:tcPr>
            <w:tcW w:w="917" w:type="dxa"/>
            <w:vAlign w:val="center"/>
          </w:tcPr>
          <w:p>
            <w:pPr>
              <w:jc w:val="center"/>
            </w:pPr>
            <w:r>
              <w:rPr>
                <w:rFonts w:hint="eastAsia"/>
              </w:rPr>
              <w:t>采纳</w:t>
            </w:r>
          </w:p>
        </w:tc>
        <w:tc>
          <w:tcPr>
            <w:tcW w:w="853" w:type="dxa"/>
            <w:vAlign w:val="center"/>
          </w:tcPr>
          <w:p>
            <w:pPr>
              <w:jc w:val="center"/>
            </w:pPr>
          </w:p>
        </w:tc>
      </w:tr>
    </w:tbl>
    <w:p>
      <w:pPr>
        <w:pStyle w:val="11"/>
        <w:snapToGrid w:val="0"/>
        <w:spacing w:line="500" w:lineRule="exact"/>
        <w:ind w:firstLine="0" w:firstLineChars="0"/>
        <w:rPr>
          <w:rFonts w:hAnsi="宋体" w:cs="宋体"/>
          <w:color w:val="FF0000"/>
          <w:kern w:val="2"/>
          <w:sz w:val="24"/>
          <w:szCs w:val="24"/>
        </w:rPr>
      </w:pPr>
    </w:p>
    <w:p>
      <w:pPr>
        <w:pStyle w:val="11"/>
        <w:snapToGrid w:val="0"/>
        <w:spacing w:line="500" w:lineRule="exact"/>
        <w:ind w:firstLine="0" w:firstLineChars="0"/>
        <w:rPr>
          <w:rFonts w:hAnsi="宋体" w:cs="宋体"/>
          <w:color w:val="FF0000"/>
          <w:kern w:val="2"/>
          <w:sz w:val="24"/>
          <w:szCs w:val="24"/>
        </w:rPr>
      </w:pPr>
    </w:p>
    <w:p>
      <w:pPr>
        <w:pStyle w:val="15"/>
        <w:snapToGrid w:val="0"/>
        <w:spacing w:before="156" w:beforeLines="50" w:after="156" w:afterLines="50"/>
        <w:jc w:val="center"/>
        <w:rPr>
          <w:rFonts w:hint="eastAsia" w:ascii="黑体" w:hAnsi="黑体" w:eastAsia="黑体"/>
          <w:szCs w:val="24"/>
        </w:rPr>
      </w:pPr>
    </w:p>
    <w:p>
      <w:pPr>
        <w:pStyle w:val="15"/>
        <w:snapToGrid w:val="0"/>
        <w:spacing w:before="156" w:beforeLines="50" w:after="156" w:afterLines="50"/>
        <w:jc w:val="center"/>
        <w:rPr>
          <w:rFonts w:hint="eastAsia" w:ascii="黑体" w:hAnsi="黑体" w:eastAsia="黑体"/>
          <w:szCs w:val="24"/>
        </w:rPr>
      </w:pPr>
    </w:p>
    <w:p>
      <w:pPr>
        <w:pStyle w:val="15"/>
        <w:snapToGrid w:val="0"/>
        <w:spacing w:before="156" w:beforeLines="50" w:after="156" w:afterLines="50"/>
        <w:jc w:val="center"/>
        <w:rPr>
          <w:rFonts w:ascii="黑体" w:hAnsi="黑体" w:eastAsia="黑体"/>
          <w:szCs w:val="24"/>
        </w:rPr>
      </w:pPr>
      <w:r>
        <w:rPr>
          <w:rFonts w:hint="eastAsia" w:ascii="黑体" w:hAnsi="黑体" w:eastAsia="黑体"/>
          <w:szCs w:val="24"/>
        </w:rPr>
        <w:t>表</w:t>
      </w:r>
      <w:r>
        <w:rPr>
          <w:rFonts w:hint="eastAsia" w:ascii="黑体" w:hAnsi="黑体" w:eastAsia="黑体"/>
          <w:szCs w:val="24"/>
          <w:lang w:val="en-US" w:eastAsia="zh-CN"/>
        </w:rPr>
        <w:t>3</w:t>
      </w:r>
      <w:r>
        <w:rPr>
          <w:rFonts w:hint="eastAsia" w:ascii="黑体" w:hAnsi="黑体" w:eastAsia="黑体"/>
          <w:szCs w:val="24"/>
        </w:rPr>
        <w:t xml:space="preserve"> 《人工雨(雪)地面催化剂发生器现场核查操作规程》</w:t>
      </w:r>
    </w:p>
    <w:p>
      <w:pPr>
        <w:pStyle w:val="15"/>
        <w:snapToGrid w:val="0"/>
        <w:spacing w:before="156" w:beforeLines="50" w:after="156" w:afterLines="50"/>
        <w:ind w:firstLine="0" w:firstLineChars="0"/>
        <w:jc w:val="center"/>
        <w:rPr>
          <w:rFonts w:ascii="黑体" w:hAnsi="黑体" w:eastAsia="黑体"/>
          <w:szCs w:val="24"/>
        </w:rPr>
      </w:pPr>
      <w:r>
        <w:rPr>
          <w:rFonts w:hint="eastAsia" w:ascii="黑体" w:hAnsi="黑体" w:eastAsia="黑体"/>
          <w:szCs w:val="24"/>
        </w:rPr>
        <w:t>标准文件</w:t>
      </w:r>
      <w:r>
        <w:rPr>
          <w:rFonts w:hint="eastAsia" w:ascii="黑体" w:hAnsi="黑体" w:eastAsia="黑体"/>
          <w:szCs w:val="24"/>
          <w:lang w:eastAsia="zh-CN"/>
        </w:rPr>
        <w:t>征求</w:t>
      </w:r>
      <w:r>
        <w:rPr>
          <w:rFonts w:hint="eastAsia" w:ascii="黑体" w:hAnsi="黑体" w:eastAsia="黑体"/>
          <w:szCs w:val="24"/>
        </w:rPr>
        <w:t>意见情况汇总表</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424"/>
        <w:gridCol w:w="2993"/>
        <w:gridCol w:w="1666"/>
        <w:gridCol w:w="917"/>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669" w:type="dxa"/>
            <w:tcBorders>
              <w:top w:val="single" w:color="auto" w:sz="8" w:space="0"/>
              <w:left w:val="single" w:color="auto" w:sz="8" w:space="0"/>
              <w:bottom w:val="single" w:color="auto" w:sz="8" w:space="0"/>
              <w:right w:val="single" w:color="auto" w:sz="8" w:space="0"/>
            </w:tcBorders>
            <w:vAlign w:val="center"/>
          </w:tcPr>
          <w:p>
            <w:pPr>
              <w:jc w:val="center"/>
            </w:pPr>
            <w:r>
              <w:rPr>
                <w:rFonts w:hint="eastAsia"/>
              </w:rPr>
              <w:t>序号</w:t>
            </w:r>
          </w:p>
        </w:tc>
        <w:tc>
          <w:tcPr>
            <w:tcW w:w="1424" w:type="dxa"/>
            <w:tcBorders>
              <w:left w:val="single" w:color="auto" w:sz="8" w:space="0"/>
            </w:tcBorders>
            <w:vAlign w:val="center"/>
          </w:tcPr>
          <w:p>
            <w:pPr>
              <w:jc w:val="center"/>
            </w:pPr>
            <w:r>
              <w:rPr>
                <w:rFonts w:hint="eastAsia"/>
              </w:rPr>
              <w:t>标准章条号编号</w:t>
            </w:r>
          </w:p>
        </w:tc>
        <w:tc>
          <w:tcPr>
            <w:tcW w:w="2993" w:type="dxa"/>
            <w:vAlign w:val="center"/>
          </w:tcPr>
          <w:p>
            <w:pPr>
              <w:jc w:val="center"/>
            </w:pPr>
            <w:r>
              <w:rPr>
                <w:rFonts w:hint="eastAsia"/>
              </w:rPr>
              <w:t>需修改意见</w:t>
            </w:r>
          </w:p>
        </w:tc>
        <w:tc>
          <w:tcPr>
            <w:tcW w:w="1666" w:type="dxa"/>
            <w:vAlign w:val="center"/>
          </w:tcPr>
          <w:p>
            <w:pPr>
              <w:jc w:val="center"/>
            </w:pPr>
            <w:r>
              <w:rPr>
                <w:rFonts w:hint="eastAsia"/>
              </w:rPr>
              <w:t>提出人及单位</w:t>
            </w:r>
          </w:p>
        </w:tc>
        <w:tc>
          <w:tcPr>
            <w:tcW w:w="917" w:type="dxa"/>
            <w:vAlign w:val="center"/>
          </w:tcPr>
          <w:p>
            <w:pPr>
              <w:jc w:val="center"/>
            </w:pPr>
            <w:r>
              <w:rPr>
                <w:rFonts w:hint="eastAsia"/>
              </w:rPr>
              <w:t>是否</w:t>
            </w:r>
          </w:p>
          <w:p>
            <w:pPr>
              <w:jc w:val="center"/>
            </w:pPr>
            <w:r>
              <w:rPr>
                <w:rFonts w:hint="eastAsia"/>
              </w:rPr>
              <w:t>采纳</w:t>
            </w:r>
          </w:p>
        </w:tc>
        <w:tc>
          <w:tcPr>
            <w:tcW w:w="853"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eastAsia" w:eastAsia="宋体"/>
                <w:lang w:val="en-US" w:eastAsia="zh-CN"/>
              </w:rPr>
            </w:pPr>
            <w:r>
              <w:rPr>
                <w:rFonts w:hint="eastAsia"/>
                <w:lang w:val="en-US" w:eastAsia="zh-CN"/>
              </w:rPr>
              <w:t>1</w:t>
            </w:r>
          </w:p>
        </w:tc>
        <w:tc>
          <w:tcPr>
            <w:tcW w:w="1424" w:type="dxa"/>
            <w:vAlign w:val="center"/>
          </w:tcPr>
          <w:p>
            <w:pPr>
              <w:rPr>
                <w:rFonts w:hint="default" w:eastAsia="宋体"/>
                <w:lang w:val="en-US" w:eastAsia="zh-CN"/>
              </w:rPr>
            </w:pPr>
            <w:r>
              <w:rPr>
                <w:rFonts w:hint="eastAsia"/>
                <w:lang w:val="en-US" w:eastAsia="zh-CN"/>
              </w:rPr>
              <w:t>5 处置方法</w:t>
            </w:r>
          </w:p>
        </w:tc>
        <w:tc>
          <w:tcPr>
            <w:tcW w:w="2993" w:type="dxa"/>
            <w:vAlign w:val="center"/>
          </w:tcPr>
          <w:p>
            <w:pPr>
              <w:jc w:val="left"/>
              <w:rPr>
                <w:rFonts w:hint="eastAsia" w:eastAsia="宋体"/>
                <w:lang w:eastAsia="zh-CN"/>
              </w:rPr>
            </w:pPr>
            <w:r>
              <w:rPr>
                <w:rFonts w:hint="eastAsia"/>
                <w:lang w:val="en-US" w:eastAsia="zh-CN"/>
              </w:rPr>
              <w:t xml:space="preserve">5 处置方法 </w:t>
            </w:r>
            <w:r>
              <w:rPr>
                <w:rFonts w:hint="eastAsia"/>
                <w:lang w:eastAsia="zh-CN"/>
              </w:rPr>
              <w:t>建议修改为：</w:t>
            </w:r>
            <w:r>
              <w:rPr>
                <w:rFonts w:hint="eastAsia"/>
                <w:lang w:val="en-US" w:eastAsia="zh-CN"/>
              </w:rPr>
              <w:t xml:space="preserve">5 </w:t>
            </w:r>
            <w:r>
              <w:rPr>
                <w:rFonts w:hint="eastAsia"/>
                <w:lang w:eastAsia="zh-CN"/>
              </w:rPr>
              <w:t>检查和处置方法。</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lang w:val="en-US" w:eastAsia="zh-CN"/>
              </w:rPr>
            </w:pPr>
            <w:r>
              <w:rPr>
                <w:rFonts w:hint="eastAsia"/>
                <w:lang w:val="en-US" w:eastAsia="zh-CN"/>
              </w:rPr>
              <w:t>2</w:t>
            </w:r>
          </w:p>
        </w:tc>
        <w:tc>
          <w:tcPr>
            <w:tcW w:w="1424" w:type="dxa"/>
            <w:vAlign w:val="center"/>
          </w:tcPr>
          <w:p>
            <w:pPr>
              <w:rPr>
                <w:rFonts w:hint="default"/>
                <w:lang w:val="en-US" w:eastAsia="zh-CN"/>
              </w:rPr>
            </w:pPr>
            <w:r>
              <w:rPr>
                <w:rFonts w:hint="eastAsia"/>
                <w:lang w:val="en-US" w:eastAsia="zh-CN"/>
              </w:rPr>
              <w:t>5.1.2</w:t>
            </w:r>
          </w:p>
        </w:tc>
        <w:tc>
          <w:tcPr>
            <w:tcW w:w="2993" w:type="dxa"/>
            <w:vAlign w:val="center"/>
          </w:tcPr>
          <w:p>
            <w:pPr>
              <w:pStyle w:val="2"/>
            </w:pPr>
            <w:r>
              <w:rPr>
                <w:rFonts w:hint="eastAsia"/>
                <w:lang w:val="en-US" w:eastAsia="zh-CN"/>
              </w:rPr>
              <w:t xml:space="preserve">5.1.2 </w:t>
            </w:r>
            <w:r>
              <w:rPr>
                <w:rFonts w:hint="eastAsia"/>
              </w:rPr>
              <w:t>催化剂的存储不属于烟炉检查内容，建议删去。</w:t>
            </w:r>
          </w:p>
          <w:p>
            <w:pPr>
              <w:jc w:val="left"/>
              <w:rPr>
                <w:rFonts w:hint="eastAsia"/>
                <w:lang w:val="en-US" w:eastAsia="zh-CN"/>
              </w:rPr>
            </w:pP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lang w:val="en-US" w:eastAsia="zh-CN"/>
              </w:rPr>
            </w:pPr>
            <w:r>
              <w:rPr>
                <w:rFonts w:hint="eastAsia"/>
                <w:lang w:val="en-US" w:eastAsia="zh-CN"/>
              </w:rPr>
              <w:t>3</w:t>
            </w:r>
          </w:p>
        </w:tc>
        <w:tc>
          <w:tcPr>
            <w:tcW w:w="1424" w:type="dxa"/>
            <w:vAlign w:val="center"/>
          </w:tcPr>
          <w:p>
            <w:pPr>
              <w:rPr>
                <w:rFonts w:hint="default"/>
                <w:lang w:val="en-US" w:eastAsia="zh-CN"/>
              </w:rPr>
            </w:pPr>
            <w:r>
              <w:rPr>
                <w:rFonts w:hint="eastAsia"/>
                <w:lang w:val="en-US" w:eastAsia="zh-CN"/>
              </w:rPr>
              <w:t>5.1.3</w:t>
            </w:r>
          </w:p>
        </w:tc>
        <w:tc>
          <w:tcPr>
            <w:tcW w:w="2993" w:type="dxa"/>
            <w:vAlign w:val="center"/>
          </w:tcPr>
          <w:p>
            <w:pPr>
              <w:jc w:val="left"/>
              <w:rPr>
                <w:rFonts w:hint="default"/>
                <w:lang w:val="en-US" w:eastAsia="zh-CN"/>
              </w:rPr>
            </w:pPr>
            <w:r>
              <w:rPr>
                <w:rFonts w:hint="eastAsia"/>
                <w:lang w:val="en-US" w:eastAsia="zh-CN"/>
              </w:rPr>
              <w:t>注意用词规范，完整。</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lang w:val="en-US" w:eastAsia="zh-CN"/>
              </w:rPr>
            </w:pPr>
            <w:r>
              <w:rPr>
                <w:rFonts w:hint="eastAsia"/>
                <w:lang w:val="en-US" w:eastAsia="zh-CN"/>
              </w:rPr>
              <w:t>4</w:t>
            </w:r>
          </w:p>
        </w:tc>
        <w:tc>
          <w:tcPr>
            <w:tcW w:w="1424" w:type="dxa"/>
            <w:vAlign w:val="center"/>
          </w:tcPr>
          <w:p>
            <w:pPr>
              <w:rPr>
                <w:rFonts w:hint="default"/>
                <w:lang w:val="en-US" w:eastAsia="zh-CN"/>
              </w:rPr>
            </w:pPr>
            <w:r>
              <w:rPr>
                <w:rFonts w:hint="eastAsia"/>
                <w:lang w:val="en-US" w:eastAsia="zh-CN"/>
              </w:rPr>
              <w:t>5.2.1</w:t>
            </w:r>
          </w:p>
        </w:tc>
        <w:tc>
          <w:tcPr>
            <w:tcW w:w="2993" w:type="dxa"/>
            <w:vAlign w:val="center"/>
          </w:tcPr>
          <w:p>
            <w:pPr>
              <w:jc w:val="left"/>
              <w:rPr>
                <w:rFonts w:hint="eastAsia" w:eastAsia="宋体"/>
                <w:lang w:val="en-US" w:eastAsia="zh-CN"/>
              </w:rPr>
            </w:pPr>
            <w:r>
              <w:rPr>
                <w:rFonts w:hint="eastAsia"/>
                <w:lang w:val="en-US" w:eastAsia="zh-CN"/>
              </w:rPr>
              <w:t>将5.2.1中“方法”修改为“检查和处置方法”</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lang w:val="en-US" w:eastAsia="zh-CN"/>
              </w:rPr>
            </w:pPr>
            <w:r>
              <w:rPr>
                <w:rFonts w:hint="eastAsia"/>
                <w:lang w:val="en-US" w:eastAsia="zh-CN"/>
              </w:rPr>
              <w:t>5</w:t>
            </w:r>
          </w:p>
        </w:tc>
        <w:tc>
          <w:tcPr>
            <w:tcW w:w="1424" w:type="dxa"/>
            <w:vAlign w:val="center"/>
          </w:tcPr>
          <w:p>
            <w:pPr>
              <w:rPr>
                <w:rFonts w:hint="default"/>
                <w:lang w:val="en-US" w:eastAsia="zh-CN"/>
              </w:rPr>
            </w:pPr>
            <w:r>
              <w:rPr>
                <w:rFonts w:hint="eastAsia"/>
                <w:lang w:val="en-US" w:eastAsia="zh-CN"/>
              </w:rPr>
              <w:t>5.5</w:t>
            </w:r>
          </w:p>
        </w:tc>
        <w:tc>
          <w:tcPr>
            <w:tcW w:w="2993" w:type="dxa"/>
            <w:vAlign w:val="center"/>
          </w:tcPr>
          <w:p>
            <w:pPr>
              <w:jc w:val="left"/>
              <w:rPr>
                <w:rFonts w:hint="eastAsia" w:eastAsia="宋体"/>
                <w:lang w:val="en-US" w:eastAsia="zh-CN"/>
              </w:rPr>
            </w:pPr>
            <w:r>
              <w:rPr>
                <w:rFonts w:hint="eastAsia"/>
              </w:rPr>
              <w:t>具有无线联网</w:t>
            </w:r>
            <w:r>
              <w:rPr>
                <w:rFonts w:hint="eastAsia"/>
                <w:lang w:eastAsia="zh-CN"/>
              </w:rPr>
              <w:t>功能：注明与那个网联通；处置方法重复部分，写成如：处置方法参照“</w:t>
            </w:r>
            <w:r>
              <w:rPr>
                <w:rFonts w:hint="eastAsia"/>
                <w:lang w:val="en-US" w:eastAsia="zh-CN"/>
              </w:rPr>
              <w:t>5.4.3</w:t>
            </w:r>
            <w:r>
              <w:rPr>
                <w:rFonts w:hint="eastAsia"/>
                <w:lang w:eastAsia="zh-CN"/>
              </w:rPr>
              <w:t>”</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ascii="Calibri" w:hAnsi="Calibri" w:eastAsia="宋体" w:cs="Calibri"/>
                <w:kern w:val="2"/>
                <w:sz w:val="21"/>
                <w:szCs w:val="21"/>
                <w:lang w:val="en-US" w:eastAsia="zh-CN" w:bidi="ar-SA"/>
              </w:rPr>
            </w:pPr>
            <w:r>
              <w:rPr>
                <w:rFonts w:hint="eastAsia" w:cs="Calibri"/>
                <w:kern w:val="2"/>
                <w:sz w:val="21"/>
                <w:szCs w:val="21"/>
                <w:lang w:val="en-US" w:eastAsia="zh-CN" w:bidi="ar-SA"/>
              </w:rPr>
              <w:t>6</w:t>
            </w:r>
          </w:p>
        </w:tc>
        <w:tc>
          <w:tcPr>
            <w:tcW w:w="1424" w:type="dxa"/>
            <w:vAlign w:val="center"/>
          </w:tcPr>
          <w:p>
            <w:pPr>
              <w:rPr>
                <w:rFonts w:hint="default" w:ascii="Calibri" w:hAnsi="Calibri" w:eastAsia="宋体" w:cs="Calibri"/>
                <w:kern w:val="2"/>
                <w:sz w:val="21"/>
                <w:szCs w:val="21"/>
                <w:lang w:val="en-US" w:eastAsia="zh-CN" w:bidi="ar-SA"/>
              </w:rPr>
            </w:pPr>
            <w:r>
              <w:rPr>
                <w:rFonts w:hint="eastAsia"/>
                <w:lang w:val="en-US" w:eastAsia="zh-CN"/>
              </w:rPr>
              <w:t>5.6 其他</w:t>
            </w:r>
          </w:p>
        </w:tc>
        <w:tc>
          <w:tcPr>
            <w:tcW w:w="2993" w:type="dxa"/>
            <w:vAlign w:val="center"/>
          </w:tcPr>
          <w:p>
            <w:pPr>
              <w:jc w:val="left"/>
              <w:rPr>
                <w:rFonts w:hint="eastAsia" w:ascii="Calibri" w:hAnsi="Calibri" w:eastAsia="宋体" w:cs="Calibri"/>
                <w:kern w:val="2"/>
                <w:sz w:val="21"/>
                <w:szCs w:val="21"/>
                <w:lang w:val="en-US" w:eastAsia="zh-CN" w:bidi="ar-SA"/>
              </w:rPr>
            </w:pPr>
            <w:r>
              <w:rPr>
                <w:rFonts w:hint="eastAsia"/>
                <w:lang w:eastAsia="zh-CN"/>
              </w:rPr>
              <w:t>建议将</w:t>
            </w:r>
            <w:r>
              <w:rPr>
                <w:rFonts w:hint="eastAsia"/>
                <w:lang w:val="en-US" w:eastAsia="zh-CN"/>
              </w:rPr>
              <w:t xml:space="preserve">5.6.2 </w:t>
            </w:r>
            <w:r>
              <w:rPr>
                <w:rFonts w:hint="eastAsia"/>
                <w:lang w:eastAsia="zh-CN"/>
              </w:rPr>
              <w:t>检查时间、</w:t>
            </w:r>
            <w:r>
              <w:rPr>
                <w:rFonts w:hint="eastAsia"/>
                <w:lang w:val="en-US" w:eastAsia="zh-CN"/>
              </w:rPr>
              <w:t>5.6.7制定制度要求</w:t>
            </w:r>
            <w:r>
              <w:rPr>
                <w:rFonts w:hint="eastAsia"/>
                <w:lang w:eastAsia="zh-CN"/>
              </w:rPr>
              <w:t>放置在</w:t>
            </w:r>
            <w:r>
              <w:rPr>
                <w:rFonts w:hint="eastAsia"/>
                <w:lang w:val="en-US" w:eastAsia="zh-CN"/>
              </w:rPr>
              <w:t>3 术语和定义后；将设备安装环境设施检查内容5.6.3-5.6.6放置在5.2 地面发生器炉体。</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ascii="Calibri" w:hAnsi="Calibri" w:eastAsia="宋体" w:cs="Calibri"/>
                <w:kern w:val="2"/>
                <w:sz w:val="21"/>
                <w:szCs w:val="21"/>
                <w:lang w:val="en-US" w:eastAsia="zh-CN" w:bidi="ar-SA"/>
              </w:rPr>
            </w:pPr>
            <w:r>
              <w:rPr>
                <w:rFonts w:hint="eastAsia" w:cs="Calibri"/>
                <w:kern w:val="2"/>
                <w:sz w:val="21"/>
                <w:szCs w:val="21"/>
                <w:lang w:val="en-US" w:eastAsia="zh-CN" w:bidi="ar-SA"/>
              </w:rPr>
              <w:t>7</w:t>
            </w:r>
          </w:p>
        </w:tc>
        <w:tc>
          <w:tcPr>
            <w:tcW w:w="1424" w:type="dxa"/>
            <w:vAlign w:val="center"/>
          </w:tcPr>
          <w:p>
            <w:pPr>
              <w:rPr>
                <w:rFonts w:hint="default" w:ascii="Calibri" w:hAnsi="Calibri" w:eastAsia="宋体" w:cs="Calibri"/>
                <w:kern w:val="2"/>
                <w:sz w:val="21"/>
                <w:szCs w:val="21"/>
                <w:lang w:val="en-US" w:eastAsia="zh-CN" w:bidi="ar-SA"/>
              </w:rPr>
            </w:pPr>
            <w:r>
              <w:rPr>
                <w:rFonts w:hint="eastAsia" w:cs="Calibri"/>
                <w:kern w:val="2"/>
                <w:sz w:val="21"/>
                <w:szCs w:val="21"/>
                <w:lang w:val="en-US" w:eastAsia="zh-CN" w:bidi="ar-SA"/>
              </w:rPr>
              <w:t>7 检查报告</w:t>
            </w:r>
          </w:p>
        </w:tc>
        <w:tc>
          <w:tcPr>
            <w:tcW w:w="2993" w:type="dxa"/>
            <w:vAlign w:val="center"/>
          </w:tcPr>
          <w:p>
            <w:pPr>
              <w:pStyle w:val="2"/>
              <w:rPr>
                <w:rFonts w:hint="default" w:ascii="Calibri" w:hAnsi="Calibri" w:eastAsia="宋体" w:cs="Calibri"/>
                <w:kern w:val="2"/>
                <w:sz w:val="21"/>
                <w:szCs w:val="21"/>
                <w:lang w:val="en-US" w:eastAsia="zh-CN" w:bidi="ar-SA"/>
              </w:rPr>
            </w:pPr>
            <w:r>
              <w:rPr>
                <w:rFonts w:hint="eastAsia"/>
                <w:lang w:eastAsia="zh-CN"/>
              </w:rPr>
              <w:t>将“</w:t>
            </w:r>
            <w:r>
              <w:rPr>
                <w:rFonts w:hint="eastAsia"/>
              </w:rPr>
              <w:t>出具检查报告</w:t>
            </w:r>
            <w:r>
              <w:rPr>
                <w:rFonts w:hint="eastAsia"/>
                <w:lang w:eastAsia="zh-CN"/>
              </w:rPr>
              <w:t>”修改为：</w:t>
            </w:r>
            <w:r>
              <w:rPr>
                <w:rFonts w:hint="eastAsia"/>
              </w:rPr>
              <w:t>出具纸质检查报告，报告内容</w:t>
            </w:r>
            <w:r>
              <w:rPr>
                <w:rFonts w:hint="eastAsia"/>
                <w:lang w:eastAsia="zh-CN"/>
              </w:rPr>
              <w:t>必须</w:t>
            </w:r>
            <w:r>
              <w:rPr>
                <w:rFonts w:hint="eastAsia"/>
              </w:rPr>
              <w:t>现场逐项签署不得遗漏。</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rPr>
                <w:rFonts w:ascii="Calibri" w:hAnsi="Calibri" w:eastAsia="宋体" w:cs="Calibr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ascii="Calibri" w:hAnsi="Calibri" w:eastAsia="宋体" w:cs="Calibri"/>
                <w:kern w:val="2"/>
                <w:sz w:val="21"/>
                <w:szCs w:val="21"/>
                <w:lang w:val="en-US" w:eastAsia="zh-CN" w:bidi="ar-SA"/>
              </w:rPr>
            </w:pPr>
            <w:r>
              <w:rPr>
                <w:rFonts w:hint="eastAsia" w:cs="Calibri"/>
                <w:kern w:val="2"/>
                <w:sz w:val="21"/>
                <w:szCs w:val="21"/>
                <w:lang w:val="en-US" w:eastAsia="zh-CN" w:bidi="ar-SA"/>
              </w:rPr>
              <w:t>8</w:t>
            </w:r>
          </w:p>
        </w:tc>
        <w:tc>
          <w:tcPr>
            <w:tcW w:w="1424" w:type="dxa"/>
            <w:vAlign w:val="center"/>
          </w:tcPr>
          <w:p>
            <w:pPr>
              <w:rPr>
                <w:rFonts w:hint="default" w:ascii="Calibri" w:hAnsi="Calibri" w:eastAsia="宋体" w:cs="Calibri"/>
                <w:kern w:val="2"/>
                <w:sz w:val="21"/>
                <w:szCs w:val="21"/>
                <w:lang w:val="en-US" w:eastAsia="zh-CN" w:bidi="ar-SA"/>
              </w:rPr>
            </w:pPr>
            <w:r>
              <w:rPr>
                <w:rFonts w:hint="eastAsia" w:cs="Calibri"/>
                <w:kern w:val="2"/>
                <w:sz w:val="21"/>
                <w:szCs w:val="21"/>
                <w:lang w:val="en-US" w:eastAsia="zh-CN" w:bidi="ar-SA"/>
              </w:rPr>
              <w:t>附录A</w:t>
            </w:r>
          </w:p>
        </w:tc>
        <w:tc>
          <w:tcPr>
            <w:tcW w:w="2993" w:type="dxa"/>
            <w:vAlign w:val="center"/>
          </w:tcPr>
          <w:p>
            <w:pPr>
              <w:pStyle w:val="2"/>
              <w:rPr>
                <w:rFonts w:hint="eastAsia" w:ascii="Calibri" w:hAnsi="Calibri" w:eastAsia="宋体" w:cs="Calibri"/>
                <w:kern w:val="2"/>
                <w:sz w:val="21"/>
                <w:szCs w:val="21"/>
                <w:lang w:val="en-US" w:eastAsia="zh-CN" w:bidi="ar-SA"/>
              </w:rPr>
            </w:pPr>
            <w:r>
              <w:rPr>
                <w:rFonts w:hint="eastAsia"/>
              </w:rPr>
              <w:t>附录形式应于本标准一致，检查结果和处置方法均应列出。</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内蒙古自治区人工影响天气中心李汉超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rPr>
                <w:rFonts w:ascii="Calibri" w:hAnsi="Calibri" w:eastAsia="宋体" w:cs="Calibr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eastAsia" w:eastAsia="宋体"/>
                <w:lang w:val="en-US" w:eastAsia="zh-CN"/>
              </w:rPr>
            </w:pPr>
            <w:r>
              <w:rPr>
                <w:rFonts w:hint="eastAsia"/>
                <w:lang w:val="en-US" w:eastAsia="zh-CN"/>
              </w:rPr>
              <w:t>9</w:t>
            </w:r>
          </w:p>
        </w:tc>
        <w:tc>
          <w:tcPr>
            <w:tcW w:w="1424" w:type="dxa"/>
            <w:vAlign w:val="center"/>
          </w:tcPr>
          <w:p>
            <w:pPr>
              <w:rPr>
                <w:rFonts w:hint="default" w:ascii="Calibri" w:hAnsi="Calibri" w:eastAsia="宋体" w:cs="Calibri"/>
                <w:kern w:val="2"/>
                <w:sz w:val="21"/>
                <w:szCs w:val="21"/>
                <w:lang w:val="en-US" w:eastAsia="zh-CN" w:bidi="ar-SA"/>
              </w:rPr>
            </w:pPr>
            <w:r>
              <w:rPr>
                <w:rFonts w:hint="eastAsia"/>
                <w:lang w:val="en-US" w:eastAsia="zh-CN"/>
              </w:rPr>
              <w:t>5 检查和处置方法</w:t>
            </w:r>
          </w:p>
        </w:tc>
        <w:tc>
          <w:tcPr>
            <w:tcW w:w="2993" w:type="dxa"/>
            <w:vAlign w:val="center"/>
          </w:tcPr>
          <w:p>
            <w:pPr>
              <w:jc w:val="left"/>
              <w:rPr>
                <w:rFonts w:hint="default" w:ascii="Calibri" w:hAnsi="Calibri" w:eastAsia="宋体" w:cs="Calibri"/>
                <w:kern w:val="2"/>
                <w:sz w:val="21"/>
                <w:szCs w:val="21"/>
                <w:lang w:val="en-US" w:eastAsia="zh-CN" w:bidi="ar-SA"/>
              </w:rPr>
            </w:pPr>
            <w:r>
              <w:rPr>
                <w:rFonts w:hint="eastAsia"/>
                <w:lang w:eastAsia="zh-CN"/>
              </w:rPr>
              <w:t>本规范为检查操作规程，固建议第</w:t>
            </w:r>
            <w:r>
              <w:rPr>
                <w:rFonts w:hint="eastAsia"/>
                <w:lang w:val="en-US" w:eastAsia="zh-CN"/>
              </w:rPr>
              <w:t>5章改为检查方法。</w:t>
            </w:r>
          </w:p>
        </w:tc>
        <w:tc>
          <w:tcPr>
            <w:tcW w:w="1666" w:type="dxa"/>
            <w:vAlign w:val="center"/>
          </w:tcPr>
          <w:p>
            <w:pPr>
              <w:jc w:val="left"/>
              <w:rPr>
                <w:rFonts w:hint="eastAsia" w:ascii="Calibri" w:hAnsi="Calibri" w:eastAsia="宋体" w:cs="Calibri"/>
                <w:kern w:val="2"/>
                <w:sz w:val="21"/>
                <w:szCs w:val="21"/>
                <w:lang w:val="en-US" w:eastAsia="zh-CN" w:bidi="ar-SA"/>
              </w:rPr>
            </w:pPr>
            <w:r>
              <w:rPr>
                <w:rFonts w:hint="eastAsia"/>
              </w:rPr>
              <w:t>内蒙古自治区气候中心刘晓东</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eastAsia="宋体"/>
                <w:lang w:val="en-US" w:eastAsia="zh-CN"/>
              </w:rPr>
            </w:pPr>
            <w:r>
              <w:rPr>
                <w:rFonts w:hint="eastAsia"/>
                <w:lang w:val="en-US" w:eastAsia="zh-CN"/>
              </w:rPr>
              <w:t>10</w:t>
            </w:r>
          </w:p>
        </w:tc>
        <w:tc>
          <w:tcPr>
            <w:tcW w:w="1424" w:type="dxa"/>
            <w:vAlign w:val="center"/>
          </w:tcPr>
          <w:p>
            <w:pPr>
              <w:rPr>
                <w:rFonts w:hint="eastAsia"/>
                <w:lang w:val="en-US" w:eastAsia="zh-CN"/>
              </w:rPr>
            </w:pPr>
            <w:r>
              <w:rPr>
                <w:rFonts w:hint="eastAsia"/>
                <w:lang w:val="en-US" w:eastAsia="zh-CN"/>
              </w:rPr>
              <w:t>5 检查内容</w:t>
            </w:r>
          </w:p>
          <w:p>
            <w:pPr>
              <w:rPr>
                <w:rFonts w:hint="default" w:ascii="Calibri" w:hAnsi="Calibri" w:eastAsia="宋体" w:cs="Calibri"/>
                <w:kern w:val="2"/>
                <w:sz w:val="21"/>
                <w:szCs w:val="21"/>
                <w:lang w:val="en-US" w:eastAsia="zh-CN" w:bidi="ar-SA"/>
              </w:rPr>
            </w:pPr>
            <w:r>
              <w:rPr>
                <w:rFonts w:hint="eastAsia"/>
                <w:lang w:val="en-US" w:eastAsia="zh-CN"/>
              </w:rPr>
              <w:t>6检查方法</w:t>
            </w:r>
          </w:p>
        </w:tc>
        <w:tc>
          <w:tcPr>
            <w:tcW w:w="2993" w:type="dxa"/>
            <w:vAlign w:val="center"/>
          </w:tcPr>
          <w:p>
            <w:pPr>
              <w:jc w:val="left"/>
              <w:rPr>
                <w:rFonts w:hint="eastAsia" w:ascii="Calibri" w:hAnsi="Calibri" w:eastAsia="宋体" w:cs="Calibri"/>
                <w:kern w:val="2"/>
                <w:sz w:val="21"/>
                <w:szCs w:val="21"/>
                <w:lang w:val="en-US" w:eastAsia="zh-CN" w:bidi="ar-SA"/>
              </w:rPr>
            </w:pPr>
            <w:r>
              <w:rPr>
                <w:rFonts w:hint="eastAsia"/>
                <w:lang w:eastAsia="zh-CN"/>
              </w:rPr>
              <w:t>建议进一步规范检查内容和检查方法编写体制。</w:t>
            </w:r>
          </w:p>
        </w:tc>
        <w:tc>
          <w:tcPr>
            <w:tcW w:w="1666" w:type="dxa"/>
            <w:vAlign w:val="center"/>
          </w:tcPr>
          <w:p>
            <w:pPr>
              <w:jc w:val="left"/>
              <w:rPr>
                <w:rFonts w:hint="eastAsia" w:ascii="Calibri" w:hAnsi="Calibri" w:eastAsia="宋体" w:cs="Calibri"/>
                <w:kern w:val="2"/>
                <w:sz w:val="21"/>
                <w:szCs w:val="21"/>
                <w:lang w:val="en-US" w:eastAsia="zh-CN" w:bidi="ar-SA"/>
              </w:rPr>
            </w:pPr>
            <w:r>
              <w:rPr>
                <w:rFonts w:hint="eastAsia"/>
              </w:rPr>
              <w:t>内蒙古自治区气候中心刘晓东</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eastAsia="宋体"/>
                <w:lang w:val="en-US" w:eastAsia="zh-CN"/>
              </w:rPr>
            </w:pPr>
            <w:r>
              <w:rPr>
                <w:rFonts w:hint="eastAsia"/>
                <w:lang w:val="en-US" w:eastAsia="zh-CN"/>
              </w:rPr>
              <w:t>11</w:t>
            </w:r>
          </w:p>
        </w:tc>
        <w:tc>
          <w:tcPr>
            <w:tcW w:w="1424" w:type="dxa"/>
            <w:vAlign w:val="center"/>
          </w:tcPr>
          <w:p>
            <w:pPr>
              <w:jc w:val="left"/>
              <w:rPr>
                <w:rFonts w:ascii="Calibri" w:hAnsi="Calibri" w:eastAsia="宋体" w:cs="Calibri"/>
                <w:kern w:val="2"/>
                <w:sz w:val="21"/>
                <w:szCs w:val="21"/>
                <w:lang w:val="en-US" w:eastAsia="zh-CN" w:bidi="ar-SA"/>
              </w:rPr>
            </w:pPr>
            <w:r>
              <w:rPr>
                <w:rFonts w:hint="eastAsia"/>
              </w:rPr>
              <w:t>3 术语和定义，4核查内容、要求和方法</w:t>
            </w:r>
          </w:p>
        </w:tc>
        <w:tc>
          <w:tcPr>
            <w:tcW w:w="2993" w:type="dxa"/>
            <w:vAlign w:val="center"/>
          </w:tcPr>
          <w:p>
            <w:pPr>
              <w:jc w:val="left"/>
              <w:rPr>
                <w:rFonts w:ascii="Calibri" w:hAnsi="Calibri" w:eastAsia="宋体" w:cs="Calibri"/>
                <w:kern w:val="2"/>
                <w:sz w:val="21"/>
                <w:szCs w:val="21"/>
                <w:lang w:val="en-US" w:eastAsia="zh-CN" w:bidi="ar-SA"/>
              </w:rPr>
            </w:pPr>
            <w:r>
              <w:rPr>
                <w:rFonts w:hint="eastAsia"/>
              </w:rPr>
              <w:t>将烟条和焰条名称进行</w:t>
            </w:r>
            <w:r>
              <w:rPr>
                <w:rFonts w:hint="eastAsia"/>
                <w:lang w:eastAsia="zh-CN"/>
              </w:rPr>
              <w:t>统一</w:t>
            </w:r>
            <w:r>
              <w:rPr>
                <w:rFonts w:hint="eastAsia"/>
              </w:rPr>
              <w:t>。</w:t>
            </w:r>
          </w:p>
        </w:tc>
        <w:tc>
          <w:tcPr>
            <w:tcW w:w="1666" w:type="dxa"/>
            <w:vAlign w:val="center"/>
          </w:tcPr>
          <w:p>
            <w:pPr>
              <w:jc w:val="center"/>
              <w:rPr>
                <w:rFonts w:ascii="Calibri" w:hAnsi="Calibri" w:eastAsia="宋体" w:cs="Calibri"/>
                <w:kern w:val="2"/>
                <w:sz w:val="21"/>
                <w:szCs w:val="21"/>
                <w:lang w:val="en-US" w:eastAsia="zh-CN" w:bidi="ar-SA"/>
              </w:rPr>
            </w:pPr>
            <w:r>
              <w:rPr>
                <w:rFonts w:hint="eastAsia"/>
              </w:rPr>
              <w:t>内蒙古北方保安民爆器材有限公司（556</w:t>
            </w:r>
            <w:r>
              <w:rPr>
                <w:rFonts w:hint="eastAsia"/>
                <w:lang w:eastAsia="zh-CN"/>
              </w:rPr>
              <w:t>厂</w:t>
            </w:r>
            <w:r>
              <w:rPr>
                <w:rFonts w:hint="eastAsia"/>
              </w:rPr>
              <w:t>）谢东</w:t>
            </w:r>
          </w:p>
        </w:tc>
        <w:tc>
          <w:tcPr>
            <w:tcW w:w="917" w:type="dxa"/>
            <w:vAlign w:val="center"/>
          </w:tcPr>
          <w:p>
            <w:pPr>
              <w:jc w:val="center"/>
              <w:rPr>
                <w:rFonts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69" w:type="dxa"/>
            <w:tcBorders>
              <w:top w:val="single" w:color="auto" w:sz="8" w:space="0"/>
            </w:tcBorders>
            <w:vAlign w:val="center"/>
          </w:tcPr>
          <w:p>
            <w:pPr>
              <w:jc w:val="center"/>
              <w:rPr>
                <w:rFonts w:hint="default" w:eastAsia="宋体"/>
                <w:lang w:val="en-US" w:eastAsia="zh-CN"/>
              </w:rPr>
            </w:pPr>
            <w:r>
              <w:rPr>
                <w:rFonts w:hint="eastAsia"/>
                <w:lang w:val="en-US" w:eastAsia="zh-CN"/>
              </w:rPr>
              <w:t>12</w:t>
            </w:r>
          </w:p>
        </w:tc>
        <w:tc>
          <w:tcPr>
            <w:tcW w:w="1424" w:type="dxa"/>
            <w:vAlign w:val="center"/>
          </w:tcPr>
          <w:p>
            <w:pPr>
              <w:jc w:val="left"/>
              <w:rPr>
                <w:rFonts w:hint="eastAsia" w:ascii="Calibri" w:hAnsi="Calibri" w:eastAsia="宋体" w:cs="Calibri"/>
                <w:kern w:val="2"/>
                <w:sz w:val="21"/>
                <w:szCs w:val="21"/>
                <w:lang w:val="en-US" w:eastAsia="zh-CN" w:bidi="ar-SA"/>
              </w:rPr>
            </w:pPr>
            <w:r>
              <w:rPr>
                <w:rFonts w:hint="eastAsia"/>
                <w:lang w:val="en-US" w:eastAsia="zh-CN"/>
              </w:rPr>
              <w:t>6.2.4 f)</w:t>
            </w:r>
            <w:r>
              <w:rPr>
                <w:rFonts w:hint="default" w:ascii="Arial" w:hAnsi="Arial" w:cs="Arial"/>
                <w:lang w:val="en-US" w:eastAsia="zh-CN"/>
              </w:rPr>
              <w:t>……</w:t>
            </w:r>
            <w:r>
              <w:rPr>
                <w:rFonts w:hint="eastAsia" w:ascii="Arial" w:hAnsi="Arial" w:cs="Arial"/>
                <w:lang w:val="en-US" w:eastAsia="zh-CN"/>
              </w:rPr>
              <w:t>拧紧前门，以后内容全部修改</w:t>
            </w:r>
          </w:p>
        </w:tc>
        <w:tc>
          <w:tcPr>
            <w:tcW w:w="2993" w:type="dxa"/>
            <w:vAlign w:val="center"/>
          </w:tcPr>
          <w:p>
            <w:pPr>
              <w:jc w:val="left"/>
              <w:rPr>
                <w:rFonts w:hint="default" w:ascii="Calibri" w:hAnsi="Calibri" w:eastAsia="宋体" w:cs="Calibri"/>
                <w:kern w:val="2"/>
                <w:sz w:val="21"/>
                <w:szCs w:val="21"/>
                <w:lang w:val="en-US" w:eastAsia="zh-CN" w:bidi="ar-SA"/>
              </w:rPr>
            </w:pPr>
            <w:r>
              <w:rPr>
                <w:rFonts w:hint="eastAsia"/>
                <w:lang w:val="en-US" w:eastAsia="zh-CN"/>
              </w:rPr>
              <w:t>将6.2.4 f)</w:t>
            </w:r>
            <w:r>
              <w:rPr>
                <w:rFonts w:hint="default" w:ascii="Arial" w:hAnsi="Arial" w:cs="Arial"/>
                <w:lang w:val="en-US" w:eastAsia="zh-CN"/>
              </w:rPr>
              <w:t>……</w:t>
            </w:r>
            <w:r>
              <w:rPr>
                <w:rFonts w:hint="eastAsia" w:ascii="Arial" w:hAnsi="Arial" w:cs="Arial"/>
                <w:lang w:val="en-US" w:eastAsia="zh-CN"/>
              </w:rPr>
              <w:t>拧紧前门，（以后部分内容（略）全部修改）。修改为：</w:t>
            </w:r>
            <w:r>
              <w:rPr>
                <w:rFonts w:hint="eastAsia"/>
                <w:lang w:val="en-US" w:eastAsia="zh-CN"/>
              </w:rPr>
              <w:t>6.2.4 f)</w:t>
            </w:r>
            <w:r>
              <w:rPr>
                <w:rFonts w:hint="default" w:ascii="Arial" w:hAnsi="Arial" w:cs="Arial"/>
                <w:lang w:val="en-US" w:eastAsia="zh-CN"/>
              </w:rPr>
              <w:t>……</w:t>
            </w:r>
            <w:r>
              <w:rPr>
                <w:rFonts w:hint="eastAsia" w:ascii="Arial" w:hAnsi="Arial" w:cs="Arial"/>
                <w:lang w:val="en-US" w:eastAsia="zh-CN"/>
              </w:rPr>
              <w:t>拧紧前门，从地面发生器后门进入炉体查看检测管指示灯，对检测管指示灯没有发光的作业通道进行调整，松开定位套螺丝，顺时针方向拧定位套，直至检测管指示灯正常发光，为调整成功。</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内蒙古北方保安民爆器材有限公司（556</w:t>
            </w:r>
            <w:r>
              <w:rPr>
                <w:rFonts w:hint="eastAsia"/>
                <w:lang w:eastAsia="zh-CN"/>
              </w:rPr>
              <w:t>厂</w:t>
            </w:r>
            <w:r>
              <w:rPr>
                <w:rFonts w:hint="eastAsia"/>
              </w:rPr>
              <w:t>）谢东</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rPr>
                <w:rFonts w:hint="default" w:eastAsia="宋体"/>
                <w:lang w:val="en-US" w:eastAsia="zh-CN"/>
              </w:rPr>
            </w:pPr>
            <w:r>
              <w:rPr>
                <w:rFonts w:hint="eastAsia"/>
                <w:lang w:val="en-US" w:eastAsia="zh-CN"/>
              </w:rPr>
              <w:t>13</w:t>
            </w:r>
          </w:p>
        </w:tc>
        <w:tc>
          <w:tcPr>
            <w:tcW w:w="1424" w:type="dxa"/>
            <w:vAlign w:val="center"/>
          </w:tcPr>
          <w:p>
            <w:pPr>
              <w:jc w:val="left"/>
              <w:rPr>
                <w:rFonts w:hint="default" w:ascii="Calibri" w:hAnsi="Calibri" w:eastAsia="宋体" w:cs="Calibri"/>
                <w:kern w:val="2"/>
                <w:sz w:val="21"/>
                <w:szCs w:val="21"/>
                <w:lang w:val="en-US" w:eastAsia="zh-CN" w:bidi="ar-SA"/>
              </w:rPr>
            </w:pPr>
            <w:r>
              <w:rPr>
                <w:rFonts w:hint="eastAsia"/>
                <w:lang w:val="en-US" w:eastAsia="zh-CN"/>
              </w:rPr>
              <w:t>6.4.2检查内容二</w:t>
            </w:r>
          </w:p>
        </w:tc>
        <w:tc>
          <w:tcPr>
            <w:tcW w:w="2993" w:type="dxa"/>
            <w:vAlign w:val="center"/>
          </w:tcPr>
          <w:p>
            <w:pPr>
              <w:pStyle w:val="21"/>
              <w:numPr>
                <w:ilvl w:val="3"/>
                <w:numId w:val="0"/>
              </w:numPr>
              <w:ind w:left="0" w:leftChars="0" w:firstLine="0" w:firstLineChars="0"/>
              <w:rPr>
                <w:rFonts w:hint="eastAsia" w:ascii="黑体" w:hAnsi="Times New Roman" w:eastAsia="宋体" w:cs="黑体"/>
                <w:sz w:val="21"/>
                <w:szCs w:val="21"/>
                <w:lang w:val="en-US" w:eastAsia="zh-CN" w:bidi="ar-SA"/>
              </w:rPr>
            </w:pPr>
            <w:r>
              <w:rPr>
                <w:rFonts w:hint="eastAsia"/>
                <w:lang w:val="en-US" w:eastAsia="zh-CN"/>
              </w:rPr>
              <w:t>6.4.2</w:t>
            </w:r>
            <w:r>
              <w:rPr>
                <w:rFonts w:hint="eastAsia" w:ascii="宋体" w:eastAsia="宋体" w:cs="宋体"/>
                <w:lang w:eastAsia="zh-CN"/>
              </w:rPr>
              <w:t>检查内容二：</w:t>
            </w:r>
            <w:r>
              <w:rPr>
                <w:rFonts w:hint="eastAsia" w:ascii="宋体" w:eastAsia="宋体" w:cs="宋体"/>
              </w:rPr>
              <w:t>点火控制器</w:t>
            </w:r>
            <w:r>
              <w:rPr>
                <w:rFonts w:hint="eastAsia" w:ascii="宋体" w:eastAsia="宋体" w:cs="宋体"/>
                <w:lang w:eastAsia="zh-CN"/>
              </w:rPr>
              <w:t>必须工作正常。手动按键</w:t>
            </w:r>
            <w:r>
              <w:rPr>
                <w:rFonts w:hint="eastAsia" w:ascii="宋体" w:eastAsia="宋体" w:cs="宋体"/>
              </w:rPr>
              <w:t>点火控制器</w:t>
            </w:r>
            <w:r>
              <w:rPr>
                <w:rFonts w:hint="eastAsia" w:ascii="宋体" w:eastAsia="宋体" w:cs="宋体"/>
                <w:lang w:eastAsia="zh-CN"/>
              </w:rPr>
              <w:t>按钮无卡滞，</w:t>
            </w:r>
            <w:r>
              <w:rPr>
                <w:rFonts w:hint="eastAsia" w:ascii="宋体" w:eastAsia="宋体" w:cs="宋体"/>
              </w:rPr>
              <w:t>手动触碰点火控制器</w:t>
            </w:r>
            <w:r>
              <w:rPr>
                <w:rFonts w:hint="eastAsia" w:ascii="宋体" w:eastAsia="宋体" w:cs="宋体"/>
                <w:lang w:eastAsia="zh-CN"/>
              </w:rPr>
              <w:t>按钮必须</w:t>
            </w:r>
            <w:r>
              <w:rPr>
                <w:rFonts w:hint="eastAsia" w:ascii="宋体" w:eastAsia="宋体" w:cs="宋体"/>
              </w:rPr>
              <w:t>正常执行查询、装填、点火等功能</w:t>
            </w:r>
            <w:r>
              <w:rPr>
                <w:rFonts w:hint="eastAsia" w:ascii="宋体" w:eastAsia="宋体" w:cs="宋体"/>
                <w:lang w:eastAsia="zh-CN"/>
              </w:rPr>
              <w:t>，否则进行</w:t>
            </w:r>
            <w:r>
              <w:rPr>
                <w:rFonts w:hint="eastAsia" w:ascii="宋体" w:eastAsia="宋体" w:cs="宋体"/>
              </w:rPr>
              <w:t>关机的原因</w:t>
            </w:r>
            <w:r>
              <w:rPr>
                <w:rFonts w:hint="eastAsia" w:ascii="宋体" w:eastAsia="宋体" w:cs="宋体"/>
                <w:lang w:eastAsia="zh-CN"/>
              </w:rPr>
              <w:t>检查。修改为：</w:t>
            </w:r>
            <w:r>
              <w:rPr>
                <w:rFonts w:hint="eastAsia"/>
                <w:lang w:val="en-US" w:eastAsia="zh-CN"/>
              </w:rPr>
              <w:t xml:space="preserve">6.4.2 </w:t>
            </w:r>
            <w:r>
              <w:rPr>
                <w:rFonts w:hint="eastAsia" w:ascii="宋体" w:eastAsia="宋体" w:cs="宋体"/>
                <w:lang w:eastAsia="zh-CN"/>
              </w:rPr>
              <w:t>检查内容二：</w:t>
            </w:r>
            <w:r>
              <w:rPr>
                <w:rFonts w:hint="eastAsia" w:ascii="宋体" w:eastAsia="宋体" w:cs="宋体"/>
              </w:rPr>
              <w:t>点火控制器</w:t>
            </w:r>
            <w:r>
              <w:rPr>
                <w:rFonts w:hint="eastAsia" w:ascii="宋体" w:eastAsia="宋体" w:cs="宋体"/>
                <w:lang w:eastAsia="zh-CN"/>
              </w:rPr>
              <w:t>工作是否正常。手动</w:t>
            </w:r>
            <w:r>
              <w:rPr>
                <w:rFonts w:hint="eastAsia" w:ascii="宋体" w:eastAsia="宋体" w:cs="宋体"/>
              </w:rPr>
              <w:t>控制器</w:t>
            </w:r>
            <w:r>
              <w:rPr>
                <w:rFonts w:hint="eastAsia" w:ascii="宋体" w:eastAsia="宋体" w:cs="宋体"/>
                <w:lang w:eastAsia="zh-CN"/>
              </w:rPr>
              <w:t>电源按钮无卡滞。</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内蒙古北方保安民爆器材有限公司（556</w:t>
            </w:r>
            <w:r>
              <w:rPr>
                <w:rFonts w:hint="eastAsia"/>
                <w:lang w:eastAsia="zh-CN"/>
              </w:rPr>
              <w:t>厂</w:t>
            </w:r>
            <w:r>
              <w:rPr>
                <w:rFonts w:hint="eastAsia"/>
              </w:rPr>
              <w:t>）谢东</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rPr>
                <w:rFonts w:hint="default" w:eastAsia="宋体"/>
                <w:lang w:val="en-US" w:eastAsia="zh-CN"/>
              </w:rPr>
            </w:pPr>
            <w:r>
              <w:rPr>
                <w:rFonts w:hint="eastAsia"/>
                <w:lang w:val="en-US" w:eastAsia="zh-CN"/>
              </w:rPr>
              <w:t>14</w:t>
            </w:r>
          </w:p>
        </w:tc>
        <w:tc>
          <w:tcPr>
            <w:tcW w:w="1424" w:type="dxa"/>
            <w:vAlign w:val="center"/>
          </w:tcPr>
          <w:p>
            <w:pPr>
              <w:jc w:val="left"/>
              <w:rPr>
                <w:rFonts w:hint="default" w:ascii="Calibri" w:hAnsi="Calibri" w:eastAsia="宋体" w:cs="Calibri"/>
                <w:kern w:val="2"/>
                <w:sz w:val="21"/>
                <w:szCs w:val="21"/>
                <w:lang w:val="en-US" w:eastAsia="zh-CN" w:bidi="ar-SA"/>
              </w:rPr>
            </w:pPr>
            <w:r>
              <w:rPr>
                <w:rFonts w:hint="eastAsia"/>
                <w:lang w:val="en-US" w:eastAsia="zh-CN"/>
              </w:rPr>
              <w:t>6.3  太阳能电池板</w:t>
            </w:r>
          </w:p>
        </w:tc>
        <w:tc>
          <w:tcPr>
            <w:tcW w:w="2993" w:type="dxa"/>
            <w:vAlign w:val="center"/>
          </w:tcPr>
          <w:p>
            <w:pPr>
              <w:jc w:val="left"/>
              <w:rPr>
                <w:rFonts w:hint="eastAsia"/>
                <w:lang w:val="en-US" w:eastAsia="zh-CN"/>
              </w:rPr>
            </w:pPr>
            <w:r>
              <w:rPr>
                <w:rFonts w:hint="eastAsia"/>
                <w:lang w:val="en-US" w:eastAsia="zh-CN"/>
              </w:rPr>
              <w:t>6.3  太阳能电池板</w:t>
            </w:r>
          </w:p>
          <w:p>
            <w:pPr>
              <w:jc w:val="left"/>
              <w:rPr>
                <w:rFonts w:hint="eastAsia" w:ascii="Calibri" w:hAnsi="Calibri" w:eastAsia="宋体" w:cs="Calibri"/>
                <w:kern w:val="2"/>
                <w:sz w:val="21"/>
                <w:szCs w:val="21"/>
                <w:lang w:val="en-US" w:eastAsia="zh-CN" w:bidi="ar-SA"/>
              </w:rPr>
            </w:pPr>
            <w:r>
              <w:rPr>
                <w:rFonts w:hint="eastAsia"/>
                <w:lang w:val="en-US" w:eastAsia="zh-CN"/>
              </w:rPr>
              <w:t>......</w:t>
            </w:r>
            <w:r>
              <w:rPr>
                <w:rFonts w:hint="eastAsia"/>
                <w:lang w:eastAsia="zh-CN"/>
              </w:rPr>
              <w:t>蓄电池输出直流电压必须大于</w:t>
            </w:r>
            <w:r>
              <w:rPr>
                <w:rFonts w:hint="eastAsia" w:hAnsi="宋体"/>
              </w:rPr>
              <w:t>≥</w:t>
            </w:r>
            <w:r>
              <w:t>11.5V</w:t>
            </w:r>
            <w:r>
              <w:rPr>
                <w:rFonts w:hint="eastAsia"/>
              </w:rPr>
              <w:t>。</w:t>
            </w:r>
            <w:r>
              <w:rPr>
                <w:rFonts w:hint="eastAsia"/>
                <w:lang w:eastAsia="zh-CN"/>
              </w:rPr>
              <w:t>修改为：蓄电池输出直流电压必须</w:t>
            </w:r>
            <w:r>
              <w:rPr>
                <w:rFonts w:hint="eastAsia" w:hAnsi="宋体"/>
              </w:rPr>
              <w:t>≥</w:t>
            </w:r>
            <w:r>
              <w:t>11.5V</w:t>
            </w:r>
            <w:r>
              <w:rPr>
                <w:rFonts w:hint="eastAsia"/>
              </w:rPr>
              <w:t>。</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rPr>
              <w:t>内蒙古北方保安民爆器材有限公司（556</w:t>
            </w:r>
            <w:r>
              <w:rPr>
                <w:rFonts w:hint="eastAsia"/>
                <w:lang w:eastAsia="zh-CN"/>
              </w:rPr>
              <w:t>厂</w:t>
            </w:r>
            <w:r>
              <w:rPr>
                <w:rFonts w:hint="eastAsia"/>
              </w:rPr>
              <w:t>）谢东</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69" w:type="dxa"/>
            <w:vAlign w:val="center"/>
          </w:tcPr>
          <w:p>
            <w:pPr>
              <w:jc w:val="center"/>
              <w:rPr>
                <w:rFonts w:hint="default" w:eastAsia="宋体"/>
                <w:lang w:val="en-US" w:eastAsia="zh-CN"/>
              </w:rPr>
            </w:pPr>
            <w:r>
              <w:rPr>
                <w:rFonts w:hint="eastAsia"/>
                <w:lang w:val="en-US" w:eastAsia="zh-CN"/>
              </w:rPr>
              <w:t>15</w:t>
            </w:r>
          </w:p>
        </w:tc>
        <w:tc>
          <w:tcPr>
            <w:tcW w:w="1424" w:type="dxa"/>
            <w:vAlign w:val="center"/>
          </w:tcPr>
          <w:p>
            <w:pPr>
              <w:jc w:val="left"/>
              <w:rPr>
                <w:rFonts w:hint="default" w:ascii="Calibri" w:hAnsi="Calibri" w:eastAsia="宋体" w:cs="Calibri"/>
                <w:kern w:val="2"/>
                <w:sz w:val="21"/>
                <w:szCs w:val="21"/>
                <w:lang w:val="en-US" w:eastAsia="zh-CN" w:bidi="ar-SA"/>
              </w:rPr>
            </w:pPr>
            <w:r>
              <w:rPr>
                <w:rFonts w:hint="eastAsia"/>
                <w:lang w:val="en-US" w:eastAsia="zh-CN"/>
              </w:rPr>
              <w:t>1 范围</w:t>
            </w:r>
          </w:p>
        </w:tc>
        <w:tc>
          <w:tcPr>
            <w:tcW w:w="2993" w:type="dxa"/>
            <w:vAlign w:val="center"/>
          </w:tcPr>
          <w:p>
            <w:pPr>
              <w:pStyle w:val="13"/>
              <w:ind w:left="0" w:leftChars="0" w:firstLine="0" w:firstLineChars="0"/>
              <w:rPr>
                <w:rFonts w:hint="default" w:ascii="宋体" w:hAnsi="Times New Roman" w:eastAsia="宋体" w:cs="Times New Roman"/>
                <w:sz w:val="21"/>
                <w:lang w:val="en-US" w:eastAsia="zh-CN" w:bidi="ar-SA"/>
              </w:rPr>
            </w:pPr>
            <w:r>
              <w:rPr>
                <w:rFonts w:hint="eastAsia"/>
                <w:lang w:val="en-US" w:eastAsia="zh-CN"/>
              </w:rPr>
              <w:t xml:space="preserve">1 范围  </w:t>
            </w:r>
            <w:r>
              <w:rPr>
                <w:rFonts w:hint="eastAsia"/>
                <w:lang w:eastAsia="zh-CN"/>
              </w:rPr>
              <w:t>对规定内容和适用</w:t>
            </w:r>
            <w:bookmarkStart w:id="5" w:name="_GoBack"/>
            <w:bookmarkEnd w:id="5"/>
            <w:r>
              <w:rPr>
                <w:rFonts w:hint="eastAsia"/>
                <w:lang w:eastAsia="zh-CN"/>
              </w:rPr>
              <w:t>范围进行修改。修改后应更具广泛适用性。（参照</w:t>
            </w:r>
            <w:r>
              <w:rPr>
                <w:rFonts w:hint="eastAsia"/>
                <w:lang w:val="en-US" w:eastAsia="zh-CN"/>
              </w:rPr>
              <w:t>GB/T 13750-2023）。</w:t>
            </w:r>
          </w:p>
        </w:tc>
        <w:tc>
          <w:tcPr>
            <w:tcW w:w="1666" w:type="dxa"/>
            <w:vAlign w:val="center"/>
          </w:tcPr>
          <w:p>
            <w:pPr>
              <w:jc w:val="center"/>
              <w:rPr>
                <w:rFonts w:hint="eastAsia" w:ascii="Calibri" w:hAnsi="Calibri" w:eastAsia="宋体" w:cs="Calibri"/>
                <w:kern w:val="2"/>
                <w:sz w:val="21"/>
                <w:szCs w:val="21"/>
                <w:lang w:val="en-US" w:eastAsia="zh-CN" w:bidi="ar-SA"/>
              </w:rPr>
            </w:pPr>
            <w:r>
              <w:rPr>
                <w:rFonts w:hint="eastAsia"/>
                <w:lang w:eastAsia="zh-CN"/>
              </w:rPr>
              <w:t>呼和浩特市市场监督管理局郭红梅</w:t>
            </w:r>
          </w:p>
        </w:tc>
        <w:tc>
          <w:tcPr>
            <w:tcW w:w="917" w:type="dxa"/>
            <w:vAlign w:val="center"/>
          </w:tcPr>
          <w:p>
            <w:pPr>
              <w:jc w:val="center"/>
              <w:rPr>
                <w:rFonts w:hint="eastAsia" w:ascii="Calibri" w:hAnsi="Calibri" w:eastAsia="宋体" w:cs="Calibri"/>
                <w:kern w:val="2"/>
                <w:sz w:val="21"/>
                <w:szCs w:val="21"/>
                <w:lang w:val="en-US" w:eastAsia="zh-CN" w:bidi="ar-SA"/>
              </w:rPr>
            </w:pPr>
            <w:r>
              <w:rPr>
                <w:rFonts w:hint="eastAsia"/>
              </w:rPr>
              <w:t>采纳</w:t>
            </w:r>
          </w:p>
        </w:tc>
        <w:tc>
          <w:tcPr>
            <w:tcW w:w="853" w:type="dxa"/>
            <w:vAlign w:val="center"/>
          </w:tcPr>
          <w:p>
            <w:pPr>
              <w:jc w:val="center"/>
            </w:pPr>
          </w:p>
        </w:tc>
      </w:tr>
    </w:tbl>
    <w:p>
      <w:pPr>
        <w:pStyle w:val="11"/>
        <w:snapToGrid w:val="0"/>
        <w:spacing w:line="500" w:lineRule="exact"/>
        <w:ind w:firstLine="0" w:firstLineChars="0"/>
        <w:rPr>
          <w:rFonts w:hAnsi="宋体" w:cs="宋体"/>
          <w:color w:val="FF0000"/>
          <w:kern w:val="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tentative="0">
      <w:start w:val="1"/>
      <w:numFmt w:val="none"/>
      <w:suff w:val="nothing"/>
      <w:lvlText w:val="%1"/>
      <w:lvlJc w:val="left"/>
      <w:rPr>
        <w:rFonts w:hint="eastAsia"/>
      </w:rPr>
    </w:lvl>
    <w:lvl w:ilvl="1" w:tentative="0">
      <w:start w:val="1"/>
      <w:numFmt w:val="decimal"/>
      <w:pStyle w:val="20"/>
      <w:suff w:val="nothing"/>
      <w:lvlText w:val="%1%2　"/>
      <w:lvlJc w:val="left"/>
      <w:rPr>
        <w:rFonts w:hint="eastAsia" w:ascii="黑体" w:eastAsia="黑体"/>
        <w:b w:val="0"/>
        <w:bCs w:val="0"/>
        <w:i w:val="0"/>
        <w:iCs w:val="0"/>
        <w:sz w:val="21"/>
        <w:szCs w:val="21"/>
      </w:rPr>
    </w:lvl>
    <w:lvl w:ilvl="2" w:tentative="0">
      <w:start w:val="1"/>
      <w:numFmt w:val="decimal"/>
      <w:pStyle w:val="19"/>
      <w:suff w:val="nothing"/>
      <w:lvlText w:val="%1%2.%3　"/>
      <w:lvlJc w:val="left"/>
      <w:rPr>
        <w:rFonts w:hint="eastAsia" w:ascii="黑体" w:hAnsi="Times New Roman" w:eastAsia="黑体"/>
        <w:b w:val="0"/>
        <w:bCs w:val="0"/>
        <w:i w:val="0"/>
        <w:iCs w:val="0"/>
        <w:caps w:val="0"/>
        <w:smallCaps w:val="0"/>
        <w:strike w:val="0"/>
        <w:dstrike w:val="0"/>
        <w:vanish w:val="0"/>
        <w:color w:val="000000"/>
        <w:spacing w:val="0"/>
        <w:kern w:val="0"/>
        <w:position w:val="0"/>
        <w:sz w:val="21"/>
        <w:szCs w:val="21"/>
        <w:u w:val="none"/>
        <w:vertAlign w:val="baseline"/>
      </w:rPr>
    </w:lvl>
    <w:lvl w:ilvl="3" w:tentative="0">
      <w:start w:val="1"/>
      <w:numFmt w:val="decimal"/>
      <w:pStyle w:val="21"/>
      <w:suff w:val="nothing"/>
      <w:lvlText w:val="%1%2.%3.%4　"/>
      <w:lvlJc w:val="left"/>
      <w:rPr>
        <w:rFonts w:hint="eastAsia" w:ascii="黑体" w:eastAsia="黑体"/>
        <w:b w:val="0"/>
        <w:bCs w:val="0"/>
        <w:i w:val="0"/>
        <w:iCs w:val="0"/>
        <w:sz w:val="21"/>
        <w:szCs w:val="21"/>
      </w:rPr>
    </w:lvl>
    <w:lvl w:ilvl="4" w:tentative="0">
      <w:start w:val="1"/>
      <w:numFmt w:val="decimal"/>
      <w:suff w:val="nothing"/>
      <w:lvlText w:val="%1%2.%3.%4.%5　"/>
      <w:lvlJc w:val="left"/>
      <w:rPr>
        <w:rFonts w:hint="eastAsia" w:ascii="黑体" w:eastAsia="黑体"/>
        <w:b w:val="0"/>
        <w:bCs w:val="0"/>
        <w:i w:val="0"/>
        <w:iCs w:val="0"/>
        <w:sz w:val="21"/>
        <w:szCs w:val="21"/>
      </w:rPr>
    </w:lvl>
    <w:lvl w:ilvl="5" w:tentative="0">
      <w:start w:val="1"/>
      <w:numFmt w:val="decimal"/>
      <w:suff w:val="nothing"/>
      <w:lvlText w:val="%1%2.%3.%4.%5.%6　"/>
      <w:lvlJc w:val="left"/>
      <w:rPr>
        <w:rFonts w:hint="eastAsia" w:ascii="黑体" w:eastAsia="黑体"/>
        <w:b w:val="0"/>
        <w:bCs w:val="0"/>
        <w:i w:val="0"/>
        <w:iCs w:val="0"/>
        <w:sz w:val="21"/>
        <w:szCs w:val="21"/>
      </w:rPr>
    </w:lvl>
    <w:lvl w:ilvl="6" w:tentative="0">
      <w:start w:val="1"/>
      <w:numFmt w:val="decimal"/>
      <w:suff w:val="nothing"/>
      <w:lvlText w:val="%1%2.%3.%4.%5.%6.%7　"/>
      <w:lvlJc w:val="left"/>
      <w:rPr>
        <w:rFonts w:hint="eastAsia" w:ascii="黑体"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5YzMwYWFlZjU1YjNjMWVjOTliNDcyNzNlYWQ3NzUifQ=="/>
  </w:docVars>
  <w:rsids>
    <w:rsidRoot w:val="0069318E"/>
    <w:rsid w:val="0000636E"/>
    <w:rsid w:val="00023994"/>
    <w:rsid w:val="00042691"/>
    <w:rsid w:val="00055AAB"/>
    <w:rsid w:val="0009530C"/>
    <w:rsid w:val="000B32FE"/>
    <w:rsid w:val="000B4AC1"/>
    <w:rsid w:val="000E3CF9"/>
    <w:rsid w:val="000E55A0"/>
    <w:rsid w:val="000F5777"/>
    <w:rsid w:val="001113A5"/>
    <w:rsid w:val="001179DE"/>
    <w:rsid w:val="0012163B"/>
    <w:rsid w:val="00123045"/>
    <w:rsid w:val="0014688A"/>
    <w:rsid w:val="00147E5C"/>
    <w:rsid w:val="001713C6"/>
    <w:rsid w:val="00173C3D"/>
    <w:rsid w:val="00186EC2"/>
    <w:rsid w:val="0019137A"/>
    <w:rsid w:val="001A0711"/>
    <w:rsid w:val="001D6BBD"/>
    <w:rsid w:val="00200525"/>
    <w:rsid w:val="00207D7C"/>
    <w:rsid w:val="0023615A"/>
    <w:rsid w:val="002673D0"/>
    <w:rsid w:val="002B225B"/>
    <w:rsid w:val="002C3BB2"/>
    <w:rsid w:val="003169F4"/>
    <w:rsid w:val="00324076"/>
    <w:rsid w:val="00340F56"/>
    <w:rsid w:val="00346C5C"/>
    <w:rsid w:val="00371795"/>
    <w:rsid w:val="00371F01"/>
    <w:rsid w:val="00394348"/>
    <w:rsid w:val="00396EF2"/>
    <w:rsid w:val="003A31B7"/>
    <w:rsid w:val="003B4DA4"/>
    <w:rsid w:val="003D10FA"/>
    <w:rsid w:val="003E3896"/>
    <w:rsid w:val="003E5635"/>
    <w:rsid w:val="0042495E"/>
    <w:rsid w:val="00425C5F"/>
    <w:rsid w:val="00432CAC"/>
    <w:rsid w:val="00451363"/>
    <w:rsid w:val="00453F60"/>
    <w:rsid w:val="004601BA"/>
    <w:rsid w:val="00463663"/>
    <w:rsid w:val="00466B32"/>
    <w:rsid w:val="00477509"/>
    <w:rsid w:val="00497A7C"/>
    <w:rsid w:val="004C7CDA"/>
    <w:rsid w:val="00516A13"/>
    <w:rsid w:val="005373BC"/>
    <w:rsid w:val="00547289"/>
    <w:rsid w:val="005646CE"/>
    <w:rsid w:val="005724A6"/>
    <w:rsid w:val="00574825"/>
    <w:rsid w:val="00587B3D"/>
    <w:rsid w:val="0059233D"/>
    <w:rsid w:val="00594D83"/>
    <w:rsid w:val="005A7CFB"/>
    <w:rsid w:val="005C64E9"/>
    <w:rsid w:val="005D6EAA"/>
    <w:rsid w:val="005E0B4B"/>
    <w:rsid w:val="00623A97"/>
    <w:rsid w:val="00624146"/>
    <w:rsid w:val="006247C2"/>
    <w:rsid w:val="00633198"/>
    <w:rsid w:val="0063479C"/>
    <w:rsid w:val="00670C70"/>
    <w:rsid w:val="00675408"/>
    <w:rsid w:val="00675D5A"/>
    <w:rsid w:val="006868DF"/>
    <w:rsid w:val="0069318E"/>
    <w:rsid w:val="006A086E"/>
    <w:rsid w:val="006A338A"/>
    <w:rsid w:val="006B020E"/>
    <w:rsid w:val="006F5AA6"/>
    <w:rsid w:val="00713325"/>
    <w:rsid w:val="0073492F"/>
    <w:rsid w:val="00737847"/>
    <w:rsid w:val="00747DA0"/>
    <w:rsid w:val="007552C7"/>
    <w:rsid w:val="00766B60"/>
    <w:rsid w:val="00792627"/>
    <w:rsid w:val="007D33F1"/>
    <w:rsid w:val="007E6B0F"/>
    <w:rsid w:val="00803010"/>
    <w:rsid w:val="0087095E"/>
    <w:rsid w:val="008826EC"/>
    <w:rsid w:val="008950E3"/>
    <w:rsid w:val="008A067F"/>
    <w:rsid w:val="008B35A2"/>
    <w:rsid w:val="009038EB"/>
    <w:rsid w:val="00917813"/>
    <w:rsid w:val="009265A8"/>
    <w:rsid w:val="009364C7"/>
    <w:rsid w:val="00970DAD"/>
    <w:rsid w:val="00971A84"/>
    <w:rsid w:val="00974700"/>
    <w:rsid w:val="009861C7"/>
    <w:rsid w:val="009A5802"/>
    <w:rsid w:val="009A647B"/>
    <w:rsid w:val="009B5799"/>
    <w:rsid w:val="009D46DB"/>
    <w:rsid w:val="009E46BD"/>
    <w:rsid w:val="009F184F"/>
    <w:rsid w:val="00A36F8E"/>
    <w:rsid w:val="00A44284"/>
    <w:rsid w:val="00A46201"/>
    <w:rsid w:val="00A63A04"/>
    <w:rsid w:val="00A878B5"/>
    <w:rsid w:val="00A96EE9"/>
    <w:rsid w:val="00AA7D30"/>
    <w:rsid w:val="00B50352"/>
    <w:rsid w:val="00B9776E"/>
    <w:rsid w:val="00BB65BB"/>
    <w:rsid w:val="00BC0888"/>
    <w:rsid w:val="00BC3F1E"/>
    <w:rsid w:val="00C26FED"/>
    <w:rsid w:val="00C307FC"/>
    <w:rsid w:val="00C35E75"/>
    <w:rsid w:val="00C451ED"/>
    <w:rsid w:val="00C6168F"/>
    <w:rsid w:val="00C83088"/>
    <w:rsid w:val="00C8749F"/>
    <w:rsid w:val="00CA0E13"/>
    <w:rsid w:val="00CA3DDF"/>
    <w:rsid w:val="00CC1ECE"/>
    <w:rsid w:val="00CC7C6D"/>
    <w:rsid w:val="00CE17B5"/>
    <w:rsid w:val="00D06DF6"/>
    <w:rsid w:val="00D43AD2"/>
    <w:rsid w:val="00D51706"/>
    <w:rsid w:val="00D74318"/>
    <w:rsid w:val="00D839CA"/>
    <w:rsid w:val="00DA2A0D"/>
    <w:rsid w:val="00DC246E"/>
    <w:rsid w:val="00DD4B5C"/>
    <w:rsid w:val="00DE737A"/>
    <w:rsid w:val="00DF64FF"/>
    <w:rsid w:val="00E05750"/>
    <w:rsid w:val="00E248B2"/>
    <w:rsid w:val="00E31393"/>
    <w:rsid w:val="00E74EDA"/>
    <w:rsid w:val="00EF2A5D"/>
    <w:rsid w:val="00EF45E6"/>
    <w:rsid w:val="00F0004C"/>
    <w:rsid w:val="00F156E2"/>
    <w:rsid w:val="00F15CE9"/>
    <w:rsid w:val="00F21B7A"/>
    <w:rsid w:val="00F8594B"/>
    <w:rsid w:val="00F902A2"/>
    <w:rsid w:val="00FA1BE5"/>
    <w:rsid w:val="00FB0A71"/>
    <w:rsid w:val="00FD67BB"/>
    <w:rsid w:val="00FF3679"/>
    <w:rsid w:val="00FF7D6D"/>
    <w:rsid w:val="01FD26C6"/>
    <w:rsid w:val="021037A4"/>
    <w:rsid w:val="0213448A"/>
    <w:rsid w:val="03253D4F"/>
    <w:rsid w:val="04477F08"/>
    <w:rsid w:val="04F449E4"/>
    <w:rsid w:val="05C70041"/>
    <w:rsid w:val="064458B1"/>
    <w:rsid w:val="090739FD"/>
    <w:rsid w:val="09BA7A15"/>
    <w:rsid w:val="0B26148B"/>
    <w:rsid w:val="0B7B7B9F"/>
    <w:rsid w:val="0B8E0331"/>
    <w:rsid w:val="0CCD0C4F"/>
    <w:rsid w:val="0DB56BE5"/>
    <w:rsid w:val="0DE246BD"/>
    <w:rsid w:val="0E014456"/>
    <w:rsid w:val="0EA12A58"/>
    <w:rsid w:val="0EFA3A2B"/>
    <w:rsid w:val="0F366148"/>
    <w:rsid w:val="0FBC502A"/>
    <w:rsid w:val="10951064"/>
    <w:rsid w:val="10BF175B"/>
    <w:rsid w:val="1259033D"/>
    <w:rsid w:val="12DE784D"/>
    <w:rsid w:val="12FF663A"/>
    <w:rsid w:val="1312540B"/>
    <w:rsid w:val="13407938"/>
    <w:rsid w:val="13F82776"/>
    <w:rsid w:val="14255B80"/>
    <w:rsid w:val="150A451D"/>
    <w:rsid w:val="15EA323F"/>
    <w:rsid w:val="1733712E"/>
    <w:rsid w:val="19BD517D"/>
    <w:rsid w:val="19E93161"/>
    <w:rsid w:val="1B28356A"/>
    <w:rsid w:val="1B5658DD"/>
    <w:rsid w:val="1BF375FA"/>
    <w:rsid w:val="1D0B5CCC"/>
    <w:rsid w:val="1ED12142"/>
    <w:rsid w:val="1ED82FED"/>
    <w:rsid w:val="20E76675"/>
    <w:rsid w:val="232B1159"/>
    <w:rsid w:val="23907C91"/>
    <w:rsid w:val="23954084"/>
    <w:rsid w:val="241E0B6B"/>
    <w:rsid w:val="24A10366"/>
    <w:rsid w:val="252F6468"/>
    <w:rsid w:val="271D560E"/>
    <w:rsid w:val="28A75B17"/>
    <w:rsid w:val="28A97BC3"/>
    <w:rsid w:val="2B5926E0"/>
    <w:rsid w:val="2CC11658"/>
    <w:rsid w:val="2D7846A8"/>
    <w:rsid w:val="30685A01"/>
    <w:rsid w:val="317710FC"/>
    <w:rsid w:val="32500C6C"/>
    <w:rsid w:val="32E02288"/>
    <w:rsid w:val="33E0390F"/>
    <w:rsid w:val="36E37505"/>
    <w:rsid w:val="387D1690"/>
    <w:rsid w:val="396C253F"/>
    <w:rsid w:val="39D60F90"/>
    <w:rsid w:val="39FE7FF5"/>
    <w:rsid w:val="3CDE6772"/>
    <w:rsid w:val="3D356C89"/>
    <w:rsid w:val="3D4230E2"/>
    <w:rsid w:val="3D6919E9"/>
    <w:rsid w:val="3E0E3C48"/>
    <w:rsid w:val="3F514AE3"/>
    <w:rsid w:val="3FD66133"/>
    <w:rsid w:val="40A94D81"/>
    <w:rsid w:val="433D2677"/>
    <w:rsid w:val="439E6E16"/>
    <w:rsid w:val="47107F18"/>
    <w:rsid w:val="49FD1F3E"/>
    <w:rsid w:val="4A247699"/>
    <w:rsid w:val="4A4F09D8"/>
    <w:rsid w:val="4A5176B4"/>
    <w:rsid w:val="4CBF2812"/>
    <w:rsid w:val="4D9345F0"/>
    <w:rsid w:val="4FD03FA7"/>
    <w:rsid w:val="503D2FF7"/>
    <w:rsid w:val="50594DAD"/>
    <w:rsid w:val="52E010D6"/>
    <w:rsid w:val="533B3627"/>
    <w:rsid w:val="54BB497F"/>
    <w:rsid w:val="55D532B1"/>
    <w:rsid w:val="56A022E9"/>
    <w:rsid w:val="58782F40"/>
    <w:rsid w:val="597F6802"/>
    <w:rsid w:val="59833794"/>
    <w:rsid w:val="59DE5DEB"/>
    <w:rsid w:val="5A006244"/>
    <w:rsid w:val="5A217876"/>
    <w:rsid w:val="5AA96403"/>
    <w:rsid w:val="5BCC65C8"/>
    <w:rsid w:val="5C997977"/>
    <w:rsid w:val="5D9057B4"/>
    <w:rsid w:val="5DAC1DF4"/>
    <w:rsid w:val="5DB10BF5"/>
    <w:rsid w:val="5E183F2C"/>
    <w:rsid w:val="5F2B63A5"/>
    <w:rsid w:val="5FDD2423"/>
    <w:rsid w:val="60CF5C87"/>
    <w:rsid w:val="61CB28D4"/>
    <w:rsid w:val="621906B6"/>
    <w:rsid w:val="628F3483"/>
    <w:rsid w:val="63240F67"/>
    <w:rsid w:val="65DD14EB"/>
    <w:rsid w:val="65F953F0"/>
    <w:rsid w:val="673A29F1"/>
    <w:rsid w:val="68F1591B"/>
    <w:rsid w:val="694D7BEE"/>
    <w:rsid w:val="694E224B"/>
    <w:rsid w:val="6A154662"/>
    <w:rsid w:val="6DC476C4"/>
    <w:rsid w:val="6F763866"/>
    <w:rsid w:val="708C0F8E"/>
    <w:rsid w:val="713E6080"/>
    <w:rsid w:val="71B341DA"/>
    <w:rsid w:val="73114C2F"/>
    <w:rsid w:val="746518C2"/>
    <w:rsid w:val="757C43AA"/>
    <w:rsid w:val="760643F2"/>
    <w:rsid w:val="76E77862"/>
    <w:rsid w:val="78A0074A"/>
    <w:rsid w:val="78E442AF"/>
    <w:rsid w:val="7A3D7DFA"/>
    <w:rsid w:val="7C0B2086"/>
    <w:rsid w:val="7C147267"/>
    <w:rsid w:val="7F997735"/>
    <w:rsid w:val="7FA139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autoRedefine/>
    <w:qFormat/>
    <w:uiPriority w:val="99"/>
    <w:rPr>
      <w:sz w:val="18"/>
      <w:szCs w:val="18"/>
    </w:rPr>
  </w:style>
  <w:style w:type="character" w:customStyle="1" w:styleId="10">
    <w:name w:val="页脚 Char"/>
    <w:basedOn w:val="8"/>
    <w:link w:val="3"/>
    <w:autoRedefine/>
    <w:qFormat/>
    <w:uiPriority w:val="99"/>
    <w:rPr>
      <w:sz w:val="18"/>
      <w:szCs w:val="18"/>
    </w:rPr>
  </w:style>
  <w:style w:type="paragraph" w:customStyle="1" w:styleId="11">
    <w:name w:val="段"/>
    <w:link w:val="1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2">
    <w:name w:val="段 Char"/>
    <w:basedOn w:val="8"/>
    <w:link w:val="11"/>
    <w:autoRedefine/>
    <w:qFormat/>
    <w:uiPriority w:val="0"/>
    <w:rPr>
      <w:rFonts w:ascii="宋体" w:hAnsi="Times New Roman" w:eastAsia="宋体" w:cs="Times New Roman"/>
      <w:kern w:val="0"/>
      <w:szCs w:val="20"/>
    </w:rPr>
  </w:style>
  <w:style w:type="paragraph" w:customStyle="1" w:styleId="13">
    <w:name w:val="标准文件_段"/>
    <w:link w:val="1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标准文件_段 Char"/>
    <w:link w:val="13"/>
    <w:autoRedefine/>
    <w:qFormat/>
    <w:uiPriority w:val="0"/>
    <w:rPr>
      <w:rFonts w:ascii="宋体" w:hAnsi="Times New Roman" w:eastAsia="宋体" w:cs="Times New Roman"/>
      <w:kern w:val="0"/>
      <w:szCs w:val="20"/>
    </w:rPr>
  </w:style>
  <w:style w:type="paragraph" w:styleId="15">
    <w:name w:val="List Paragraph"/>
    <w:basedOn w:val="1"/>
    <w:autoRedefine/>
    <w:qFormat/>
    <w:uiPriority w:val="99"/>
    <w:pPr>
      <w:ind w:firstLine="420" w:firstLineChars="200"/>
    </w:pPr>
  </w:style>
  <w:style w:type="paragraph" w:customStyle="1" w:styleId="16">
    <w:name w:val="一级条标题"/>
    <w:next w:val="1"/>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7">
    <w:name w:val="标准文件_术语条一"/>
    <w:basedOn w:val="18"/>
    <w:next w:val="13"/>
    <w:autoRedefine/>
    <w:qFormat/>
    <w:uiPriority w:val="99"/>
  </w:style>
  <w:style w:type="paragraph" w:customStyle="1" w:styleId="18">
    <w:name w:val="标准文件_一级无标题"/>
    <w:basedOn w:val="19"/>
    <w:autoRedefine/>
    <w:qFormat/>
    <w:uiPriority w:val="99"/>
    <w:pPr>
      <w:spacing w:beforeLines="0" w:afterLines="0"/>
      <w:outlineLvl w:val="9"/>
    </w:pPr>
    <w:rPr>
      <w:rFonts w:ascii="宋体" w:eastAsia="宋体" w:cs="宋体"/>
    </w:rPr>
  </w:style>
  <w:style w:type="paragraph" w:customStyle="1" w:styleId="19">
    <w:name w:val="标准文件_一级条标题"/>
    <w:basedOn w:val="20"/>
    <w:next w:val="13"/>
    <w:autoRedefine/>
    <w:qFormat/>
    <w:uiPriority w:val="99"/>
    <w:pPr>
      <w:numPr>
        <w:ilvl w:val="2"/>
      </w:numPr>
      <w:spacing w:beforeLines="50" w:afterLines="50"/>
      <w:outlineLvl w:val="1"/>
    </w:pPr>
  </w:style>
  <w:style w:type="paragraph" w:customStyle="1" w:styleId="20">
    <w:name w:val="标准文件_章标题"/>
    <w:next w:val="13"/>
    <w:autoRedefine/>
    <w:qFormat/>
    <w:uiPriority w:val="99"/>
    <w:pPr>
      <w:numPr>
        <w:ilvl w:val="1"/>
        <w:numId w:val="2"/>
      </w:numPr>
      <w:spacing w:beforeLines="100" w:afterLines="100"/>
      <w:jc w:val="both"/>
      <w:outlineLvl w:val="0"/>
    </w:pPr>
    <w:rPr>
      <w:rFonts w:ascii="黑体" w:hAnsi="Times New Roman" w:eastAsia="黑体" w:cs="黑体"/>
      <w:sz w:val="21"/>
      <w:szCs w:val="21"/>
      <w:lang w:val="en-US" w:eastAsia="zh-CN" w:bidi="ar-SA"/>
    </w:rPr>
  </w:style>
  <w:style w:type="paragraph" w:customStyle="1" w:styleId="21">
    <w:name w:val="标准文件_二级条标题"/>
    <w:next w:val="13"/>
    <w:autoRedefine/>
    <w:qFormat/>
    <w:uiPriority w:val="99"/>
    <w:pPr>
      <w:widowControl w:val="0"/>
      <w:numPr>
        <w:ilvl w:val="3"/>
        <w:numId w:val="2"/>
      </w:numPr>
      <w:spacing w:before="156" w:beforeLines="50" w:after="156" w:afterLines="50"/>
      <w:jc w:val="both"/>
      <w:outlineLvl w:val="2"/>
    </w:pPr>
    <w:rPr>
      <w:rFonts w:ascii="黑体" w:hAnsi="Times New Roman" w:eastAsia="黑体" w:cs="黑体"/>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79DA2-6B5D-4979-BDC9-0F20DA2F87F2}">
  <ds:schemaRefs/>
</ds:datastoreItem>
</file>

<file path=docProps/app.xml><?xml version="1.0" encoding="utf-8"?>
<Properties xmlns="http://schemas.openxmlformats.org/officeDocument/2006/extended-properties" xmlns:vt="http://schemas.openxmlformats.org/officeDocument/2006/docPropsVTypes">
  <Template>Normal</Template>
  <Pages>15</Pages>
  <Words>1816</Words>
  <Characters>10353</Characters>
  <Lines>86</Lines>
  <Paragraphs>24</Paragraphs>
  <TotalTime>10</TotalTime>
  <ScaleCrop>false</ScaleCrop>
  <LinksUpToDate>false</LinksUpToDate>
  <CharactersWithSpaces>12145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2024-02-22T10:07:00Z</dcterms:created>
  <dc:creator>学斌 曲</dc:creator>
  <cp:lastModifiedBy>Administrator</cp:lastModifiedBy>
  <cp:lastPrinted>2024-02-05T02:14:00Z</cp:lastPrinted>
  <dcterms:modified xsi:type="dcterms:W3CDTF">2024-03-06T02:17:32Z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BDCCF059B10A4B93A4A7C3B09C32CCE5_13</vt:lpwstr>
  </property>
</Properties>
</file>